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52D" w:rsidRDefault="00BD052D" w:rsidP="00BD052D">
      <w:pPr>
        <w:spacing w:after="0" w:line="240" w:lineRule="auto"/>
        <w:jc w:val="right"/>
        <w:rPr>
          <w:rFonts w:ascii="Times New Roman" w:hAnsi="Times New Roman" w:cs="Times New Roman"/>
          <w:sz w:val="24"/>
          <w:szCs w:val="24"/>
          <w:lang w:eastAsia="en-CA"/>
        </w:rPr>
      </w:pPr>
    </w:p>
    <w:p w:rsidR="00466B82" w:rsidRPr="00E57049" w:rsidRDefault="00466B82" w:rsidP="00466B82">
      <w:pPr>
        <w:spacing w:after="0" w:line="240" w:lineRule="auto"/>
        <w:jc w:val="center"/>
        <w:rPr>
          <w:rFonts w:ascii="Times New Roman" w:hAnsi="Times New Roman"/>
          <w:b/>
          <w:i/>
          <w:sz w:val="28"/>
        </w:rPr>
      </w:pPr>
      <w:r w:rsidRPr="00E57049">
        <w:rPr>
          <w:rFonts w:ascii="Times New Roman" w:hAnsi="Times New Roman" w:cs="Times New Roman"/>
          <w:b/>
          <w:sz w:val="28"/>
          <w:szCs w:val="24"/>
          <w:lang w:eastAsia="en-CA"/>
        </w:rPr>
        <w:t>An Overview of the</w:t>
      </w:r>
      <w:r w:rsidRPr="00E57049">
        <w:rPr>
          <w:rFonts w:ascii="Times New Roman" w:hAnsi="Times New Roman"/>
          <w:b/>
          <w:i/>
          <w:sz w:val="28"/>
        </w:rPr>
        <w:t xml:space="preserve"> Accessibility for Manitobans Act: </w:t>
      </w:r>
      <w:r w:rsidRPr="00E57049">
        <w:rPr>
          <w:rFonts w:ascii="Times New Roman" w:hAnsi="Times New Roman"/>
          <w:b/>
          <w:sz w:val="28"/>
        </w:rPr>
        <w:t>Ambitions and Achievements in Antidiscrimination and Citizen Participation</w:t>
      </w:r>
    </w:p>
    <w:p w:rsidR="00466B82" w:rsidRPr="00E57049" w:rsidRDefault="00466B82" w:rsidP="00466B82">
      <w:pPr>
        <w:spacing w:after="0" w:line="240" w:lineRule="auto"/>
        <w:jc w:val="right"/>
        <w:rPr>
          <w:rFonts w:ascii="Times New Roman" w:hAnsi="Times New Roman" w:cs="Times New Roman"/>
          <w:b/>
          <w:i/>
          <w:sz w:val="28"/>
          <w:szCs w:val="24"/>
          <w:lang w:eastAsia="en-CA"/>
        </w:rPr>
      </w:pPr>
    </w:p>
    <w:p w:rsidR="00466B82" w:rsidRPr="00BF1E9A" w:rsidRDefault="00466B82" w:rsidP="00466B82">
      <w:pPr>
        <w:spacing w:after="0" w:line="240" w:lineRule="auto"/>
        <w:jc w:val="right"/>
        <w:rPr>
          <w:rFonts w:ascii="Times New Roman" w:hAnsi="Times New Roman" w:cs="Times New Roman"/>
          <w:b/>
          <w:i/>
          <w:sz w:val="24"/>
          <w:szCs w:val="24"/>
          <w:lang w:eastAsia="en-CA"/>
        </w:rPr>
      </w:pPr>
      <w:proofErr w:type="gramStart"/>
      <w:r>
        <w:rPr>
          <w:rFonts w:ascii="Times New Roman" w:hAnsi="Times New Roman" w:cs="Times New Roman"/>
          <w:b/>
          <w:i/>
          <w:sz w:val="24"/>
          <w:szCs w:val="24"/>
          <w:lang w:eastAsia="en-CA"/>
        </w:rPr>
        <w:t>by</w:t>
      </w:r>
      <w:proofErr w:type="gramEnd"/>
      <w:r>
        <w:rPr>
          <w:rFonts w:ascii="Times New Roman" w:hAnsi="Times New Roman" w:cs="Times New Roman"/>
          <w:b/>
          <w:i/>
          <w:sz w:val="24"/>
          <w:szCs w:val="24"/>
          <w:lang w:eastAsia="en-CA"/>
        </w:rPr>
        <w:t xml:space="preserve"> Laverne Jacobs</w:t>
      </w:r>
      <w:r>
        <w:rPr>
          <w:rStyle w:val="FootnoteReference"/>
          <w:rFonts w:ascii="Times New Roman" w:hAnsi="Times New Roman" w:cs="Times New Roman"/>
          <w:b/>
          <w:i/>
          <w:sz w:val="24"/>
          <w:szCs w:val="24"/>
          <w:lang w:eastAsia="en-CA"/>
        </w:rPr>
        <w:footnoteReference w:customMarkFollows="1" w:id="1"/>
        <w:t>*</w:t>
      </w:r>
      <w:r>
        <w:rPr>
          <w:rFonts w:ascii="Times New Roman" w:hAnsi="Times New Roman" w:cs="Times New Roman"/>
          <w:b/>
          <w:i/>
          <w:sz w:val="24"/>
          <w:szCs w:val="24"/>
          <w:lang w:eastAsia="en-CA"/>
        </w:rPr>
        <w:t>, Victoria Cino</w:t>
      </w:r>
      <w:r>
        <w:rPr>
          <w:rStyle w:val="FootnoteReference"/>
          <w:rFonts w:ascii="Times New Roman" w:hAnsi="Times New Roman" w:cs="Times New Roman"/>
          <w:b/>
          <w:i/>
          <w:sz w:val="24"/>
          <w:szCs w:val="24"/>
          <w:lang w:eastAsia="en-CA"/>
        </w:rPr>
        <w:footnoteReference w:customMarkFollows="1" w:id="2"/>
        <w:t>**</w:t>
      </w:r>
      <w:r w:rsidRPr="00BF1E9A">
        <w:rPr>
          <w:rFonts w:ascii="Times New Roman" w:hAnsi="Times New Roman" w:cs="Times New Roman"/>
          <w:b/>
          <w:i/>
          <w:sz w:val="24"/>
          <w:szCs w:val="24"/>
          <w:lang w:eastAsia="en-CA"/>
        </w:rPr>
        <w:t xml:space="preserve"> </w:t>
      </w:r>
      <w:r>
        <w:rPr>
          <w:rFonts w:ascii="Times New Roman" w:hAnsi="Times New Roman" w:cs="Times New Roman"/>
          <w:b/>
          <w:i/>
          <w:sz w:val="24"/>
          <w:szCs w:val="24"/>
          <w:lang w:eastAsia="en-CA"/>
        </w:rPr>
        <w:t xml:space="preserve">and Britney </w:t>
      </w:r>
      <w:proofErr w:type="spellStart"/>
      <w:r>
        <w:rPr>
          <w:rFonts w:ascii="Times New Roman" w:hAnsi="Times New Roman" w:cs="Times New Roman"/>
          <w:b/>
          <w:i/>
          <w:sz w:val="24"/>
          <w:szCs w:val="24"/>
          <w:lang w:eastAsia="en-CA"/>
        </w:rPr>
        <w:t>DeCosta</w:t>
      </w:r>
      <w:proofErr w:type="spellEnd"/>
      <w:r>
        <w:rPr>
          <w:rStyle w:val="FootnoteReference"/>
          <w:rFonts w:ascii="Times New Roman" w:hAnsi="Times New Roman" w:cs="Times New Roman"/>
          <w:b/>
          <w:i/>
          <w:sz w:val="24"/>
          <w:szCs w:val="24"/>
          <w:lang w:eastAsia="en-CA"/>
        </w:rPr>
        <w:footnoteReference w:customMarkFollows="1" w:id="3"/>
        <w:t>***</w:t>
      </w:r>
      <w:r>
        <w:rPr>
          <w:rFonts w:ascii="Times New Roman" w:hAnsi="Times New Roman" w:cs="Times New Roman"/>
          <w:b/>
          <w:i/>
          <w:sz w:val="24"/>
          <w:szCs w:val="24"/>
          <w:lang w:eastAsia="en-CA"/>
        </w:rPr>
        <w:t xml:space="preserve"> </w:t>
      </w:r>
    </w:p>
    <w:p w:rsidR="00BD052D" w:rsidRDefault="00BD052D" w:rsidP="00884048">
      <w:pPr>
        <w:spacing w:after="0" w:line="240" w:lineRule="auto"/>
        <w:jc w:val="both"/>
        <w:rPr>
          <w:rFonts w:ascii="Times New Roman" w:hAnsi="Times New Roman" w:cs="Times New Roman"/>
          <w:sz w:val="24"/>
          <w:szCs w:val="24"/>
          <w:lang w:eastAsia="en-CA"/>
        </w:rPr>
      </w:pPr>
      <w:bookmarkStart w:id="0" w:name="_GoBack"/>
      <w:bookmarkEnd w:id="0"/>
    </w:p>
    <w:p w:rsidR="00BD052D" w:rsidRDefault="00BD052D" w:rsidP="00884048">
      <w:pPr>
        <w:pStyle w:val="Heading2"/>
        <w:numPr>
          <w:ilvl w:val="0"/>
          <w:numId w:val="1"/>
        </w:numPr>
        <w:jc w:val="both"/>
        <w:rPr>
          <w:lang w:eastAsia="en-CA"/>
        </w:rPr>
      </w:pPr>
      <w:r w:rsidRPr="002F51E0">
        <w:rPr>
          <w:lang w:eastAsia="en-CA"/>
        </w:rPr>
        <w:t>Introduction</w:t>
      </w:r>
    </w:p>
    <w:p w:rsidR="00BD052D" w:rsidRDefault="00BD052D">
      <w:pPr>
        <w:spacing w:after="0"/>
        <w:jc w:val="both"/>
        <w:rPr>
          <w:rFonts w:ascii="Times New Roman" w:hAnsi="Times New Roman"/>
          <w:sz w:val="24"/>
        </w:rPr>
      </w:pPr>
      <w:r w:rsidRPr="005F61B7">
        <w:rPr>
          <w:rFonts w:ascii="Times New Roman" w:hAnsi="Times New Roman" w:cs="Times New Roman"/>
          <w:sz w:val="24"/>
          <w:szCs w:val="24"/>
          <w:lang w:eastAsia="en-CA"/>
        </w:rPr>
        <w:t xml:space="preserve">The </w:t>
      </w:r>
      <w:r w:rsidRPr="005F61B7">
        <w:rPr>
          <w:rFonts w:ascii="Times New Roman" w:hAnsi="Times New Roman" w:cs="Times New Roman"/>
          <w:i/>
          <w:sz w:val="24"/>
          <w:szCs w:val="24"/>
        </w:rPr>
        <w:t>Accessibility for Manitobans Act</w:t>
      </w:r>
      <w:r w:rsidRPr="005F61B7">
        <w:rPr>
          <w:rStyle w:val="FootnoteReference"/>
          <w:rFonts w:ascii="Times New Roman" w:hAnsi="Times New Roman" w:cs="Times New Roman"/>
          <w:sz w:val="24"/>
          <w:szCs w:val="24"/>
        </w:rPr>
        <w:footnoteReference w:id="4"/>
      </w:r>
      <w:r w:rsidRPr="005F61B7">
        <w:rPr>
          <w:rFonts w:ascii="Times New Roman" w:hAnsi="Times New Roman" w:cs="Times New Roman"/>
          <w:i/>
          <w:sz w:val="24"/>
          <w:szCs w:val="24"/>
        </w:rPr>
        <w:t xml:space="preserve"> </w:t>
      </w:r>
      <w:r w:rsidRPr="005F61B7">
        <w:rPr>
          <w:rFonts w:ascii="Times New Roman" w:hAnsi="Times New Roman" w:cs="Times New Roman"/>
          <w:sz w:val="24"/>
          <w:szCs w:val="24"/>
        </w:rPr>
        <w:t>(AMA)</w:t>
      </w:r>
      <w:r w:rsidRPr="005F61B7">
        <w:rPr>
          <w:rFonts w:ascii="Times New Roman" w:hAnsi="Times New Roman" w:cs="Times New Roman"/>
          <w:i/>
          <w:sz w:val="24"/>
          <w:szCs w:val="24"/>
        </w:rPr>
        <w:t xml:space="preserve"> </w:t>
      </w:r>
      <w:r w:rsidR="00D748B8">
        <w:rPr>
          <w:rFonts w:ascii="Times New Roman" w:hAnsi="Times New Roman" w:cs="Times New Roman"/>
          <w:sz w:val="24"/>
          <w:szCs w:val="24"/>
        </w:rPr>
        <w:t>came into force</w:t>
      </w:r>
      <w:r w:rsidRPr="005F61B7">
        <w:rPr>
          <w:rFonts w:ascii="Times New Roman" w:hAnsi="Times New Roman" w:cs="Times New Roman"/>
          <w:sz w:val="24"/>
          <w:szCs w:val="24"/>
        </w:rPr>
        <w:t xml:space="preserve"> in </w:t>
      </w:r>
      <w:r w:rsidR="00F04CB8" w:rsidRPr="005F61B7">
        <w:rPr>
          <w:rFonts w:ascii="Times New Roman" w:hAnsi="Times New Roman" w:cs="Times New Roman"/>
          <w:sz w:val="24"/>
          <w:szCs w:val="24"/>
        </w:rPr>
        <w:t>December</w:t>
      </w:r>
      <w:r w:rsidRPr="005F61B7">
        <w:rPr>
          <w:rFonts w:ascii="Times New Roman" w:hAnsi="Times New Roman" w:cs="Times New Roman"/>
          <w:sz w:val="24"/>
          <w:szCs w:val="24"/>
        </w:rPr>
        <w:t xml:space="preserve"> 2013. Manitoba is the</w:t>
      </w:r>
      <w:r>
        <w:rPr>
          <w:rFonts w:ascii="Times New Roman" w:hAnsi="Times New Roman"/>
          <w:sz w:val="24"/>
        </w:rPr>
        <w:t xml:space="preserve"> second Canadian province to enact accessibility standards legislation. The first province was Ontario which enacted the </w:t>
      </w:r>
      <w:r w:rsidRPr="000578E0">
        <w:rPr>
          <w:rFonts w:ascii="Times New Roman" w:hAnsi="Times New Roman"/>
          <w:i/>
          <w:sz w:val="24"/>
        </w:rPr>
        <w:t>Ontarians with Disabilities Act</w:t>
      </w:r>
      <w:r>
        <w:rPr>
          <w:rFonts w:ascii="Times New Roman" w:hAnsi="Times New Roman"/>
          <w:sz w:val="24"/>
        </w:rPr>
        <w:t xml:space="preserve"> </w:t>
      </w:r>
      <w:r w:rsidR="00247D1B">
        <w:rPr>
          <w:rFonts w:ascii="Times New Roman" w:hAnsi="Times New Roman"/>
          <w:sz w:val="24"/>
        </w:rPr>
        <w:t xml:space="preserve">(ODA) </w:t>
      </w:r>
      <w:r>
        <w:rPr>
          <w:rFonts w:ascii="Times New Roman" w:hAnsi="Times New Roman"/>
          <w:sz w:val="24"/>
        </w:rPr>
        <w:t>in 2001</w:t>
      </w:r>
      <w:r w:rsidR="0061533C">
        <w:rPr>
          <w:rFonts w:ascii="Times New Roman" w:hAnsi="Times New Roman"/>
          <w:sz w:val="24"/>
        </w:rPr>
        <w:t>,</w:t>
      </w:r>
      <w:r>
        <w:rPr>
          <w:rFonts w:ascii="Times New Roman" w:hAnsi="Times New Roman"/>
          <w:sz w:val="24"/>
        </w:rPr>
        <w:t xml:space="preserve"> and later the more fortified and enforceable </w:t>
      </w:r>
      <w:r w:rsidRPr="000578E0">
        <w:rPr>
          <w:rFonts w:ascii="Times New Roman" w:hAnsi="Times New Roman"/>
          <w:i/>
          <w:sz w:val="24"/>
        </w:rPr>
        <w:t>Accessibility for Ontarians with Disabilities Act, 2005</w:t>
      </w:r>
      <w:r w:rsidR="00247D1B">
        <w:rPr>
          <w:rFonts w:ascii="Times New Roman" w:hAnsi="Times New Roman"/>
          <w:i/>
          <w:sz w:val="24"/>
        </w:rPr>
        <w:t xml:space="preserve"> </w:t>
      </w:r>
      <w:r w:rsidR="00247D1B">
        <w:rPr>
          <w:rFonts w:ascii="Times New Roman" w:hAnsi="Times New Roman"/>
          <w:sz w:val="24"/>
        </w:rPr>
        <w:t>(AODA)</w:t>
      </w:r>
      <w:r>
        <w:rPr>
          <w:rFonts w:ascii="Times New Roman" w:hAnsi="Times New Roman"/>
          <w:sz w:val="24"/>
        </w:rPr>
        <w:t xml:space="preserve">. In this brief article, we provide an overview of the </w:t>
      </w:r>
      <w:r w:rsidRPr="000578E0">
        <w:rPr>
          <w:rFonts w:ascii="Times New Roman" w:hAnsi="Times New Roman"/>
          <w:i/>
          <w:sz w:val="24"/>
        </w:rPr>
        <w:t>Accessibility for Manitobans Act</w:t>
      </w:r>
      <w:r>
        <w:rPr>
          <w:rFonts w:ascii="Times New Roman" w:hAnsi="Times New Roman"/>
          <w:sz w:val="24"/>
        </w:rPr>
        <w:t>, highlighting its purpose, philosophical and social goals; the process for developing the standards; and enforcement and  compliance. Throughout, we provide commentary on the statute from the perspective of its effectiveness as a means for protecting persons with disabilities from discrimination, and the statute’s efficacy as a consultation tool for citizen participation. We argue that the AMA’s structure illustrates some of the fault lines in the theoretical literature regarding the social model of disability. Increased attention to the experience of impairment coupled with a more robust understanding of disability discrimination would assist the legislation to achieve its overall goal of removing accessibility barriers.</w:t>
      </w:r>
      <w:r w:rsidRPr="00267F00">
        <w:rPr>
          <w:rFonts w:ascii="Times New Roman" w:hAnsi="Times New Roman"/>
          <w:sz w:val="24"/>
        </w:rPr>
        <w:t xml:space="preserve"> </w:t>
      </w:r>
      <w:r>
        <w:rPr>
          <w:rFonts w:ascii="Times New Roman" w:hAnsi="Times New Roman"/>
          <w:sz w:val="24"/>
        </w:rPr>
        <w:t>These findings may be useful for the design of future accessibility legislation in Canada or elsewhere.</w:t>
      </w:r>
    </w:p>
    <w:p w:rsidR="00BD052D" w:rsidRPr="00C468E3" w:rsidRDefault="00BD052D" w:rsidP="00884048">
      <w:pPr>
        <w:spacing w:after="0" w:line="240" w:lineRule="auto"/>
        <w:jc w:val="both"/>
        <w:rPr>
          <w:rFonts w:ascii="Times New Roman" w:hAnsi="Times New Roman" w:cs="Times New Roman"/>
          <w:sz w:val="24"/>
          <w:szCs w:val="24"/>
          <w:lang w:eastAsia="en-CA"/>
        </w:rPr>
      </w:pPr>
    </w:p>
    <w:p w:rsidR="00BD052D" w:rsidRPr="00FF0C82" w:rsidRDefault="00BD052D" w:rsidP="00884048">
      <w:pPr>
        <w:pStyle w:val="Heading2"/>
        <w:numPr>
          <w:ilvl w:val="0"/>
          <w:numId w:val="1"/>
        </w:numPr>
        <w:jc w:val="both"/>
        <w:rPr>
          <w:rFonts w:cs="Times New Roman"/>
          <w:szCs w:val="24"/>
          <w:lang w:eastAsia="en-CA"/>
        </w:rPr>
      </w:pPr>
      <w:r w:rsidRPr="00FF0C82">
        <w:t xml:space="preserve">Purpose, </w:t>
      </w:r>
      <w:r>
        <w:t>P</w:t>
      </w:r>
      <w:r w:rsidRPr="00FF0C82">
        <w:t xml:space="preserve">hilosophical and </w:t>
      </w:r>
      <w:r>
        <w:t>S</w:t>
      </w:r>
      <w:r w:rsidRPr="00FF0C82">
        <w:t xml:space="preserve">ocial </w:t>
      </w:r>
      <w:r>
        <w:t>G</w:t>
      </w:r>
      <w:r w:rsidRPr="00FF0C82">
        <w:t>oals of the AMA</w:t>
      </w:r>
    </w:p>
    <w:p w:rsidR="00BD052D" w:rsidRDefault="00BD052D">
      <w:pPr>
        <w:jc w:val="both"/>
        <w:rPr>
          <w:rFonts w:ascii="Times New Roman" w:hAnsi="Times New Roman" w:cs="Times New Roman"/>
          <w:sz w:val="24"/>
          <w:szCs w:val="24"/>
        </w:rPr>
      </w:pPr>
      <w:r w:rsidRPr="00D3581C">
        <w:rPr>
          <w:rFonts w:ascii="Times New Roman" w:hAnsi="Times New Roman" w:cs="Times New Roman"/>
          <w:sz w:val="24"/>
          <w:szCs w:val="24"/>
        </w:rPr>
        <w:t xml:space="preserve">The </w:t>
      </w:r>
      <w:r w:rsidRPr="00EE3008">
        <w:rPr>
          <w:rFonts w:ascii="Times New Roman" w:hAnsi="Times New Roman" w:cs="Times New Roman"/>
          <w:i/>
          <w:sz w:val="24"/>
          <w:szCs w:val="24"/>
        </w:rPr>
        <w:t>Accessibility for Manitobans Act</w:t>
      </w:r>
      <w:r w:rsidRPr="00D3581C">
        <w:rPr>
          <w:rFonts w:ascii="Times New Roman" w:hAnsi="Times New Roman" w:cs="Times New Roman"/>
          <w:sz w:val="24"/>
          <w:szCs w:val="24"/>
        </w:rPr>
        <w:t xml:space="preserve"> aims to achieve accessibility by preventing and removing barriers that disable people in five areas of society: employment</w:t>
      </w:r>
      <w:r w:rsidR="0061533C">
        <w:rPr>
          <w:rFonts w:ascii="Times New Roman" w:hAnsi="Times New Roman" w:cs="Times New Roman"/>
          <w:sz w:val="24"/>
          <w:szCs w:val="24"/>
        </w:rPr>
        <w:t>;</w:t>
      </w:r>
      <w:r w:rsidRPr="00D3581C">
        <w:rPr>
          <w:rFonts w:ascii="Times New Roman" w:hAnsi="Times New Roman" w:cs="Times New Roman"/>
          <w:sz w:val="24"/>
          <w:szCs w:val="24"/>
        </w:rPr>
        <w:t xml:space="preserve"> accommodation</w:t>
      </w:r>
      <w:r w:rsidR="0061533C">
        <w:rPr>
          <w:rFonts w:ascii="Times New Roman" w:hAnsi="Times New Roman" w:cs="Times New Roman"/>
          <w:sz w:val="24"/>
          <w:szCs w:val="24"/>
        </w:rPr>
        <w:t>;</w:t>
      </w:r>
      <w:r w:rsidRPr="00D3581C">
        <w:rPr>
          <w:rFonts w:ascii="Times New Roman" w:hAnsi="Times New Roman" w:cs="Times New Roman"/>
          <w:sz w:val="24"/>
          <w:szCs w:val="24"/>
        </w:rPr>
        <w:t xml:space="preserve"> the built environment (including physical structures and transportation infrastructure)</w:t>
      </w:r>
      <w:r w:rsidR="0061533C">
        <w:rPr>
          <w:rFonts w:ascii="Times New Roman" w:hAnsi="Times New Roman" w:cs="Times New Roman"/>
          <w:sz w:val="24"/>
          <w:szCs w:val="24"/>
        </w:rPr>
        <w:t>;</w:t>
      </w:r>
      <w:r w:rsidRPr="00D3581C">
        <w:rPr>
          <w:rFonts w:ascii="Times New Roman" w:hAnsi="Times New Roman" w:cs="Times New Roman"/>
          <w:sz w:val="24"/>
          <w:szCs w:val="24"/>
        </w:rPr>
        <w:t xml:space="preserve"> the delivery and receipt of goods, services and information</w:t>
      </w:r>
      <w:r w:rsidR="0061533C">
        <w:rPr>
          <w:rFonts w:ascii="Times New Roman" w:hAnsi="Times New Roman" w:cs="Times New Roman"/>
          <w:sz w:val="24"/>
          <w:szCs w:val="24"/>
        </w:rPr>
        <w:t>;</w:t>
      </w:r>
      <w:r w:rsidRPr="00D3581C">
        <w:rPr>
          <w:rFonts w:ascii="Times New Roman" w:hAnsi="Times New Roman" w:cs="Times New Roman"/>
          <w:sz w:val="24"/>
          <w:szCs w:val="24"/>
        </w:rPr>
        <w:t xml:space="preserve"> and any prescribed activity or undertaking.</w:t>
      </w:r>
      <w:r>
        <w:rPr>
          <w:rStyle w:val="FootnoteReference"/>
          <w:rFonts w:ascii="Times New Roman" w:hAnsi="Times New Roman" w:cs="Times New Roman"/>
          <w:sz w:val="24"/>
          <w:szCs w:val="24"/>
        </w:rPr>
        <w:footnoteReference w:id="5"/>
      </w:r>
      <w:r w:rsidRPr="00D3581C">
        <w:rPr>
          <w:rFonts w:ascii="Times New Roman" w:hAnsi="Times New Roman" w:cs="Times New Roman"/>
          <w:sz w:val="24"/>
          <w:szCs w:val="24"/>
        </w:rPr>
        <w:t xml:space="preserve"> </w:t>
      </w:r>
      <w:r>
        <w:rPr>
          <w:rFonts w:ascii="Times New Roman" w:hAnsi="Times New Roman" w:cs="Times New Roman"/>
          <w:sz w:val="24"/>
          <w:szCs w:val="24"/>
        </w:rPr>
        <w:t xml:space="preserve">The primary tools for doing this are consultation with persons with disabilities and other affected stakeholders, leading to the development of accessibility standards and public sector accessibility plans. </w:t>
      </w:r>
    </w:p>
    <w:p w:rsidR="00BD052D" w:rsidRPr="005F61B7" w:rsidRDefault="00BD052D">
      <w:pPr>
        <w:jc w:val="both"/>
        <w:rPr>
          <w:rFonts w:ascii="Times New Roman" w:hAnsi="Times New Roman" w:cs="Times New Roman"/>
          <w:sz w:val="24"/>
          <w:szCs w:val="24"/>
        </w:rPr>
      </w:pPr>
      <w:r>
        <w:rPr>
          <w:rFonts w:ascii="Times New Roman" w:hAnsi="Times New Roman" w:cs="Times New Roman"/>
          <w:sz w:val="24"/>
          <w:szCs w:val="24"/>
        </w:rPr>
        <w:t xml:space="preserve">The legislation was prompted by advocacy </w:t>
      </w:r>
      <w:r w:rsidR="00D748B8">
        <w:rPr>
          <w:rFonts w:ascii="Times New Roman" w:hAnsi="Times New Roman" w:cs="Times New Roman"/>
          <w:sz w:val="24"/>
          <w:szCs w:val="24"/>
        </w:rPr>
        <w:t xml:space="preserve">on the part of </w:t>
      </w:r>
      <w:r>
        <w:rPr>
          <w:rFonts w:ascii="Times New Roman" w:hAnsi="Times New Roman" w:cs="Times New Roman"/>
          <w:sz w:val="24"/>
          <w:szCs w:val="24"/>
        </w:rPr>
        <w:t xml:space="preserve">the disability community which largely felt that </w:t>
      </w:r>
      <w:r w:rsidR="009A5282">
        <w:rPr>
          <w:rFonts w:ascii="Times New Roman" w:hAnsi="Times New Roman" w:cs="Times New Roman"/>
          <w:sz w:val="24"/>
          <w:szCs w:val="24"/>
        </w:rPr>
        <w:t xml:space="preserve">a law </w:t>
      </w:r>
      <w:r>
        <w:rPr>
          <w:rFonts w:ascii="Times New Roman" w:hAnsi="Times New Roman" w:cs="Times New Roman"/>
          <w:sz w:val="24"/>
          <w:szCs w:val="24"/>
        </w:rPr>
        <w:t xml:space="preserve">setting out accessibility standards would provide more systemic change and enable </w:t>
      </w:r>
      <w:r>
        <w:rPr>
          <w:rFonts w:ascii="Times New Roman" w:hAnsi="Times New Roman" w:cs="Times New Roman"/>
          <w:sz w:val="24"/>
          <w:szCs w:val="24"/>
        </w:rPr>
        <w:lastRenderedPageBreak/>
        <w:t>persons with disabilities to achieve greater accessibility on the ground.</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Accessibility legislation serves as a complement to the already existing complaint</w:t>
      </w:r>
      <w:r w:rsidR="00D748B8">
        <w:rPr>
          <w:rFonts w:ascii="Times New Roman" w:hAnsi="Times New Roman" w:cs="Times New Roman"/>
          <w:sz w:val="24"/>
          <w:szCs w:val="24"/>
        </w:rPr>
        <w:t>-</w:t>
      </w:r>
      <w:r>
        <w:rPr>
          <w:rFonts w:ascii="Times New Roman" w:hAnsi="Times New Roman" w:cs="Times New Roman"/>
          <w:sz w:val="24"/>
          <w:szCs w:val="24"/>
        </w:rPr>
        <w:t>driven system established under the Manitoba</w:t>
      </w:r>
      <w:r w:rsidRPr="001F23C2">
        <w:rPr>
          <w:rFonts w:ascii="Times New Roman" w:hAnsi="Times New Roman" w:cs="Times New Roman"/>
          <w:i/>
          <w:sz w:val="24"/>
          <w:szCs w:val="24"/>
        </w:rPr>
        <w:t xml:space="preserve"> Human Rights Code</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7"/>
      </w:r>
      <w:r>
        <w:rPr>
          <w:rFonts w:ascii="Times New Roman" w:hAnsi="Times New Roman" w:cs="Times New Roman"/>
          <w:sz w:val="24"/>
          <w:szCs w:val="24"/>
        </w:rPr>
        <w:t xml:space="preserve"> The political move to adopt accessibility legislation in Manitoba was also motivated by a recognition that Manitoba’s disability rate is higher than the national average</w:t>
      </w:r>
      <w:r w:rsidR="00E736D5">
        <w:rPr>
          <w:rFonts w:ascii="Times New Roman" w:hAnsi="Times New Roman" w:cs="Times New Roman"/>
          <w:sz w:val="24"/>
          <w:szCs w:val="24"/>
        </w:rPr>
        <w:t>,</w:t>
      </w:r>
      <w:r>
        <w:rPr>
          <w:rFonts w:ascii="Times New Roman" w:hAnsi="Times New Roman" w:cs="Times New Roman"/>
          <w:sz w:val="24"/>
          <w:szCs w:val="24"/>
        </w:rPr>
        <w:t xml:space="preserve"> and that with an aging population, the incidence of disability in Manitoba would be increasing.</w:t>
      </w:r>
      <w:r>
        <w:rPr>
          <w:rStyle w:val="FootnoteReference"/>
          <w:rFonts w:ascii="Times New Roman" w:hAnsi="Times New Roman" w:cs="Times New Roman"/>
          <w:sz w:val="24"/>
          <w:szCs w:val="24"/>
        </w:rPr>
        <w:footnoteReference w:id="8"/>
      </w:r>
      <w:r>
        <w:rPr>
          <w:rFonts w:ascii="Times New Roman" w:hAnsi="Times New Roman" w:cs="Times New Roman"/>
          <w:sz w:val="24"/>
          <w:szCs w:val="24"/>
        </w:rPr>
        <w:t xml:space="preserve"> Finally, as noted by the responsible minister at first reading of the bill, the legislation would serve to </w:t>
      </w:r>
      <w:r w:rsidRPr="006242AB">
        <w:rPr>
          <w:rFonts w:ascii="Times New Roman" w:hAnsi="Times New Roman" w:cs="Times New Roman"/>
          <w:sz w:val="24"/>
          <w:szCs w:val="24"/>
        </w:rPr>
        <w:t>improve the independence and social inclusion of Manitobans where they live, learn, work and play.</w:t>
      </w:r>
      <w:r>
        <w:rPr>
          <w:rStyle w:val="FootnoteReference"/>
          <w:rFonts w:ascii="Times New Roman" w:hAnsi="Times New Roman" w:cs="Times New Roman"/>
          <w:sz w:val="24"/>
          <w:szCs w:val="24"/>
        </w:rPr>
        <w:footnoteReference w:id="9"/>
      </w:r>
      <w:r>
        <w:rPr>
          <w:rFonts w:ascii="Times New Roman" w:hAnsi="Times New Roman" w:cs="Times New Roman"/>
          <w:sz w:val="24"/>
          <w:szCs w:val="24"/>
        </w:rPr>
        <w:t xml:space="preserve"> The purpose of the Act and its political impetus are similar to those in the </w:t>
      </w:r>
      <w:r w:rsidRPr="005F61B7">
        <w:rPr>
          <w:rFonts w:ascii="Times New Roman" w:hAnsi="Times New Roman" w:cs="Times New Roman"/>
          <w:sz w:val="24"/>
          <w:szCs w:val="24"/>
        </w:rPr>
        <w:t>province of Ontario where disability access legislation has also been enacted.</w:t>
      </w:r>
      <w:r w:rsidRPr="005F61B7">
        <w:rPr>
          <w:rStyle w:val="FootnoteReference"/>
          <w:rFonts w:ascii="Times New Roman" w:hAnsi="Times New Roman" w:cs="Times New Roman"/>
          <w:sz w:val="24"/>
          <w:szCs w:val="24"/>
        </w:rPr>
        <w:footnoteReference w:id="10"/>
      </w:r>
    </w:p>
    <w:p w:rsidR="00BD052D" w:rsidRPr="005F61B7" w:rsidRDefault="00BD052D">
      <w:pPr>
        <w:jc w:val="both"/>
        <w:rPr>
          <w:rFonts w:ascii="Times New Roman" w:hAnsi="Times New Roman" w:cs="Times New Roman"/>
          <w:sz w:val="24"/>
          <w:szCs w:val="24"/>
        </w:rPr>
      </w:pPr>
      <w:r w:rsidRPr="005F61B7">
        <w:rPr>
          <w:rFonts w:ascii="Times New Roman" w:hAnsi="Times New Roman" w:cs="Times New Roman"/>
          <w:sz w:val="24"/>
          <w:szCs w:val="24"/>
        </w:rPr>
        <w:t xml:space="preserve">Alongside its stated purpose, the AMA has several underlying philosophical and social goals. By “philosophical goals”, we refer to the foundational aspirations of the statute.  The AMA contains human rights-based aspirations of equality, </w:t>
      </w:r>
      <w:r w:rsidR="00CB048E">
        <w:rPr>
          <w:rFonts w:ascii="Times New Roman" w:hAnsi="Times New Roman" w:cs="Times New Roman"/>
          <w:sz w:val="24"/>
          <w:szCs w:val="24"/>
        </w:rPr>
        <w:t>placed</w:t>
      </w:r>
      <w:r w:rsidR="00CB048E" w:rsidRPr="005F61B7">
        <w:rPr>
          <w:rFonts w:ascii="Times New Roman" w:hAnsi="Times New Roman" w:cs="Times New Roman"/>
          <w:sz w:val="24"/>
          <w:szCs w:val="24"/>
        </w:rPr>
        <w:t xml:space="preserve"> </w:t>
      </w:r>
      <w:r w:rsidRPr="005F61B7">
        <w:rPr>
          <w:rFonts w:ascii="Times New Roman" w:hAnsi="Times New Roman" w:cs="Times New Roman"/>
          <w:sz w:val="24"/>
          <w:szCs w:val="24"/>
        </w:rPr>
        <w:t xml:space="preserve">within a more traditional administrative regulatory framework.  One sees these human rights aspirations in the social areas of protection that are prescribed by the AMA. These social areas mirror the areas of protection found in the Manitoba </w:t>
      </w:r>
      <w:r w:rsidRPr="005F61B7">
        <w:rPr>
          <w:rFonts w:ascii="Times New Roman" w:hAnsi="Times New Roman" w:cs="Times New Roman"/>
          <w:i/>
          <w:sz w:val="24"/>
          <w:szCs w:val="24"/>
        </w:rPr>
        <w:t>Human Rights Code</w:t>
      </w:r>
      <w:r w:rsidRPr="005F61B7">
        <w:rPr>
          <w:rFonts w:ascii="Times New Roman" w:hAnsi="Times New Roman" w:cs="Times New Roman"/>
          <w:sz w:val="24"/>
          <w:szCs w:val="24"/>
        </w:rPr>
        <w:t>– namely, persons with disabilities should have barriers eradicated with respect to goods, services, facilities, accommodation, employment, buildings, structures, and premises.</w:t>
      </w:r>
      <w:r w:rsidRPr="005F61B7">
        <w:rPr>
          <w:rStyle w:val="FootnoteReference"/>
          <w:rFonts w:ascii="Times New Roman" w:hAnsi="Times New Roman" w:cs="Times New Roman"/>
          <w:sz w:val="24"/>
          <w:szCs w:val="24"/>
        </w:rPr>
        <w:footnoteReference w:id="11"/>
      </w:r>
      <w:r w:rsidRPr="005F61B7">
        <w:rPr>
          <w:rFonts w:ascii="Times New Roman" w:hAnsi="Times New Roman" w:cs="Times New Roman"/>
          <w:sz w:val="24"/>
          <w:szCs w:val="24"/>
        </w:rPr>
        <w:t xml:space="preserve"> Moreover, the language of the statute indicates that persons disabled by barriers have a </w:t>
      </w:r>
      <w:r w:rsidRPr="005F61B7">
        <w:rPr>
          <w:rFonts w:ascii="Times New Roman" w:hAnsi="Times New Roman" w:cs="Times New Roman"/>
          <w:i/>
          <w:sz w:val="24"/>
          <w:szCs w:val="24"/>
        </w:rPr>
        <w:t>right</w:t>
      </w:r>
      <w:r w:rsidRPr="005F61B7">
        <w:rPr>
          <w:rFonts w:ascii="Times New Roman" w:hAnsi="Times New Roman" w:cs="Times New Roman"/>
          <w:sz w:val="24"/>
          <w:szCs w:val="24"/>
        </w:rPr>
        <w:t xml:space="preserve"> to those barriers being removed; barrier removal is not to be granted as a matter of charity. This </w:t>
      </w:r>
      <w:r w:rsidR="00D93CE2">
        <w:rPr>
          <w:rFonts w:ascii="Times New Roman" w:hAnsi="Times New Roman" w:cs="Times New Roman"/>
          <w:sz w:val="24"/>
          <w:szCs w:val="24"/>
        </w:rPr>
        <w:t>ide</w:t>
      </w:r>
      <w:r w:rsidR="00CB048E">
        <w:rPr>
          <w:rFonts w:ascii="Times New Roman" w:hAnsi="Times New Roman" w:cs="Times New Roman"/>
          <w:sz w:val="24"/>
          <w:szCs w:val="24"/>
        </w:rPr>
        <w:t>a</w:t>
      </w:r>
      <w:r w:rsidRPr="005F61B7">
        <w:rPr>
          <w:rFonts w:ascii="Times New Roman" w:hAnsi="Times New Roman" w:cs="Times New Roman"/>
          <w:sz w:val="24"/>
          <w:szCs w:val="24"/>
        </w:rPr>
        <w:t xml:space="preserve"> </w:t>
      </w:r>
      <w:r w:rsidR="00CB048E">
        <w:rPr>
          <w:rFonts w:ascii="Times New Roman" w:hAnsi="Times New Roman" w:cs="Times New Roman"/>
          <w:sz w:val="24"/>
          <w:szCs w:val="24"/>
        </w:rPr>
        <w:t xml:space="preserve">is </w:t>
      </w:r>
      <w:r w:rsidRPr="005F61B7">
        <w:rPr>
          <w:rFonts w:ascii="Times New Roman" w:hAnsi="Times New Roman" w:cs="Times New Roman"/>
          <w:sz w:val="24"/>
          <w:szCs w:val="24"/>
        </w:rPr>
        <w:t>clearly</w:t>
      </w:r>
      <w:r w:rsidR="00D93CE2">
        <w:rPr>
          <w:rFonts w:ascii="Times New Roman" w:hAnsi="Times New Roman" w:cs="Times New Roman"/>
          <w:sz w:val="24"/>
          <w:szCs w:val="24"/>
        </w:rPr>
        <w:t xml:space="preserve"> manifest</w:t>
      </w:r>
      <w:r w:rsidRPr="005F61B7">
        <w:rPr>
          <w:rFonts w:ascii="Times New Roman" w:hAnsi="Times New Roman" w:cs="Times New Roman"/>
          <w:sz w:val="24"/>
          <w:szCs w:val="24"/>
        </w:rPr>
        <w:t xml:space="preserve"> in the preamble of the AMA which indicates that one of the reasons for enacting the statute is to ensure that persons with disabilities achieve equal opportunities, independence and full economic and social integration.  Finally, there are references to the various equality rights instruments which the AMA is to complement and with which it</w:t>
      </w:r>
      <w:r w:rsidR="00D93CE2">
        <w:rPr>
          <w:rFonts w:ascii="Times New Roman" w:hAnsi="Times New Roman" w:cs="Times New Roman"/>
          <w:sz w:val="24"/>
          <w:szCs w:val="24"/>
        </w:rPr>
        <w:t xml:space="preserve"> </w:t>
      </w:r>
      <w:r w:rsidRPr="005F61B7">
        <w:rPr>
          <w:rFonts w:ascii="Times New Roman" w:hAnsi="Times New Roman" w:cs="Times New Roman"/>
          <w:sz w:val="24"/>
          <w:szCs w:val="24"/>
        </w:rPr>
        <w:t xml:space="preserve">should work in tandem:  United Nations </w:t>
      </w:r>
      <w:r w:rsidRPr="005F61B7">
        <w:rPr>
          <w:rFonts w:ascii="Times New Roman" w:hAnsi="Times New Roman" w:cs="Times New Roman"/>
          <w:i/>
          <w:sz w:val="24"/>
          <w:szCs w:val="24"/>
        </w:rPr>
        <w:t>Convention on the Rights of Persons with Disabilities</w:t>
      </w:r>
      <w:r w:rsidRPr="005F61B7">
        <w:rPr>
          <w:rStyle w:val="FootnoteReference"/>
          <w:rFonts w:ascii="Times New Roman" w:hAnsi="Times New Roman" w:cs="Times New Roman"/>
          <w:sz w:val="24"/>
          <w:szCs w:val="24"/>
        </w:rPr>
        <w:footnoteReference w:id="12"/>
      </w:r>
      <w:r w:rsidRPr="005F61B7">
        <w:rPr>
          <w:rFonts w:ascii="Times New Roman" w:hAnsi="Times New Roman" w:cs="Times New Roman"/>
          <w:sz w:val="24"/>
          <w:szCs w:val="24"/>
        </w:rPr>
        <w:t>, the C</w:t>
      </w:r>
      <w:r w:rsidRPr="005F61B7">
        <w:rPr>
          <w:rFonts w:ascii="Times New Roman" w:hAnsi="Times New Roman" w:cs="Times New Roman"/>
          <w:i/>
          <w:sz w:val="24"/>
          <w:szCs w:val="24"/>
        </w:rPr>
        <w:t>anadian Charter of Rights and Freedoms</w:t>
      </w:r>
      <w:r w:rsidRPr="005F61B7">
        <w:rPr>
          <w:rStyle w:val="FootnoteReference"/>
          <w:rFonts w:ascii="Times New Roman" w:hAnsi="Times New Roman" w:cs="Times New Roman"/>
          <w:sz w:val="24"/>
          <w:szCs w:val="24"/>
        </w:rPr>
        <w:footnoteReference w:id="13"/>
      </w:r>
      <w:r w:rsidRPr="005F61B7">
        <w:rPr>
          <w:rFonts w:ascii="Times New Roman" w:hAnsi="Times New Roman" w:cs="Times New Roman"/>
          <w:sz w:val="24"/>
          <w:szCs w:val="24"/>
        </w:rPr>
        <w:t xml:space="preserve"> and the</w:t>
      </w:r>
      <w:r w:rsidRPr="005F61B7">
        <w:rPr>
          <w:rFonts w:ascii="Times New Roman" w:hAnsi="Times New Roman" w:cs="Times New Roman"/>
          <w:i/>
          <w:sz w:val="24"/>
          <w:szCs w:val="24"/>
        </w:rPr>
        <w:t xml:space="preserve"> Human Rights Code</w:t>
      </w:r>
      <w:r w:rsidRPr="005F61B7">
        <w:rPr>
          <w:rStyle w:val="FootnoteReference"/>
          <w:rFonts w:ascii="Times New Roman" w:hAnsi="Times New Roman" w:cs="Times New Roman"/>
          <w:sz w:val="24"/>
          <w:szCs w:val="24"/>
        </w:rPr>
        <w:footnoteReference w:id="14"/>
      </w:r>
      <w:r w:rsidRPr="005F61B7">
        <w:rPr>
          <w:rFonts w:ascii="Times New Roman" w:hAnsi="Times New Roman" w:cs="Times New Roman"/>
          <w:sz w:val="24"/>
          <w:szCs w:val="24"/>
        </w:rPr>
        <w:t xml:space="preserve">. </w:t>
      </w:r>
      <w:r w:rsidRPr="005F61B7">
        <w:rPr>
          <w:rFonts w:ascii="Times New Roman" w:hAnsi="Times New Roman" w:cs="Times New Roman"/>
          <w:sz w:val="24"/>
          <w:szCs w:val="24"/>
        </w:rPr>
        <w:lastRenderedPageBreak/>
        <w:t>With its various embodiments of human rights protection and</w:t>
      </w:r>
      <w:r w:rsidR="00CB048E">
        <w:rPr>
          <w:rFonts w:ascii="Times New Roman" w:hAnsi="Times New Roman" w:cs="Times New Roman"/>
          <w:sz w:val="24"/>
          <w:szCs w:val="24"/>
        </w:rPr>
        <w:t xml:space="preserve"> its</w:t>
      </w:r>
      <w:r w:rsidRPr="005F61B7">
        <w:rPr>
          <w:rFonts w:ascii="Times New Roman" w:hAnsi="Times New Roman" w:cs="Times New Roman"/>
          <w:sz w:val="24"/>
          <w:szCs w:val="24"/>
        </w:rPr>
        <w:t xml:space="preserve"> connections to equality rights enactments, the AMA implicitly labels inaccessibility an infringement of human rights. From the preamble, it is clear as well that an additional philosophical goal of the AMA is to improve the health, independence and overall well-being of persons with disabilities.</w:t>
      </w:r>
      <w:r w:rsidRPr="005F61B7">
        <w:rPr>
          <w:rStyle w:val="FootnoteReference"/>
          <w:rFonts w:ascii="Times New Roman" w:hAnsi="Times New Roman" w:cs="Times New Roman"/>
          <w:sz w:val="24"/>
          <w:szCs w:val="24"/>
        </w:rPr>
        <w:footnoteReference w:id="15"/>
      </w:r>
      <w:r w:rsidRPr="005F61B7">
        <w:rPr>
          <w:rFonts w:ascii="Times New Roman" w:hAnsi="Times New Roman" w:cs="Times New Roman"/>
          <w:sz w:val="24"/>
          <w:szCs w:val="24"/>
        </w:rPr>
        <w:t xml:space="preserve"> We consider these two philosophical goals – removing disabling barriers to ensure the human right of equality, and</w:t>
      </w:r>
      <w:r>
        <w:rPr>
          <w:rFonts w:ascii="Times New Roman" w:hAnsi="Times New Roman" w:cs="Times New Roman"/>
          <w:sz w:val="24"/>
          <w:szCs w:val="24"/>
        </w:rPr>
        <w:t xml:space="preserve"> improving health, independence and well-being – to present a commendable vision of social </w:t>
      </w:r>
      <w:r w:rsidRPr="005F61B7">
        <w:rPr>
          <w:rFonts w:ascii="Times New Roman" w:hAnsi="Times New Roman" w:cs="Times New Roman"/>
          <w:sz w:val="24"/>
          <w:szCs w:val="24"/>
        </w:rPr>
        <w:t xml:space="preserve">inclusion of persons with disabilities as equal members of society. </w:t>
      </w:r>
    </w:p>
    <w:p w:rsidR="00B5726B" w:rsidRDefault="00BD052D">
      <w:pPr>
        <w:jc w:val="both"/>
        <w:rPr>
          <w:rFonts w:ascii="Times New Roman" w:hAnsi="Times New Roman" w:cs="Times New Roman"/>
          <w:sz w:val="24"/>
          <w:szCs w:val="24"/>
        </w:rPr>
      </w:pPr>
      <w:r w:rsidRPr="005F61B7">
        <w:rPr>
          <w:rFonts w:ascii="Times New Roman" w:hAnsi="Times New Roman" w:cs="Times New Roman"/>
          <w:sz w:val="24"/>
          <w:szCs w:val="24"/>
        </w:rPr>
        <w:t xml:space="preserve">With regard to the “social goals” of the statute, we define the social goals of the Act to be the explicit and implicit guiding principles laid out in the statute for achieving its philosophical goals. The AMA specifies that there are four principles that should be at the base of any efforts to remove barriers. </w:t>
      </w:r>
      <w:r w:rsidR="00B5726B">
        <w:rPr>
          <w:rFonts w:ascii="Times New Roman" w:hAnsi="Times New Roman" w:cs="Times New Roman"/>
          <w:sz w:val="24"/>
          <w:szCs w:val="24"/>
        </w:rPr>
        <w:t>In particular</w:t>
      </w:r>
      <w:r w:rsidRPr="005F61B7">
        <w:rPr>
          <w:rFonts w:ascii="Times New Roman" w:hAnsi="Times New Roman" w:cs="Times New Roman"/>
          <w:sz w:val="24"/>
          <w:szCs w:val="24"/>
        </w:rPr>
        <w:t>, regard must be had for the principles of access, equality, universal design, and systemic responsibility.</w:t>
      </w:r>
      <w:r w:rsidRPr="005F61B7">
        <w:rPr>
          <w:rStyle w:val="FootnoteReference"/>
          <w:rFonts w:ascii="Times New Roman" w:hAnsi="Times New Roman" w:cs="Times New Roman"/>
          <w:sz w:val="24"/>
          <w:szCs w:val="24"/>
        </w:rPr>
        <w:footnoteReference w:id="16"/>
      </w:r>
      <w:r w:rsidRPr="005F61B7">
        <w:rPr>
          <w:rFonts w:ascii="Times New Roman" w:hAnsi="Times New Roman" w:cs="Times New Roman"/>
          <w:sz w:val="24"/>
          <w:szCs w:val="24"/>
        </w:rPr>
        <w:t xml:space="preserve"> </w:t>
      </w:r>
      <w:r w:rsidRPr="005F61B7">
        <w:rPr>
          <w:rFonts w:ascii="Times New Roman" w:hAnsi="Times New Roman" w:cs="Times New Roman"/>
          <w:i/>
          <w:sz w:val="24"/>
          <w:szCs w:val="24"/>
        </w:rPr>
        <w:t>Access</w:t>
      </w:r>
      <w:r w:rsidRPr="005F61B7">
        <w:rPr>
          <w:rFonts w:ascii="Times New Roman" w:hAnsi="Times New Roman" w:cs="Times New Roman"/>
          <w:sz w:val="24"/>
          <w:szCs w:val="24"/>
        </w:rPr>
        <w:t xml:space="preserve"> refers to persons having “barrier-free access to places, events and other functions that are generally available in the community.”</w:t>
      </w:r>
      <w:r w:rsidRPr="005F61B7">
        <w:rPr>
          <w:rStyle w:val="FootnoteReference"/>
          <w:rFonts w:ascii="Times New Roman" w:hAnsi="Times New Roman" w:cs="Times New Roman"/>
          <w:sz w:val="24"/>
          <w:szCs w:val="24"/>
        </w:rPr>
        <w:footnoteReference w:id="17"/>
      </w:r>
      <w:r w:rsidRPr="005F61B7">
        <w:rPr>
          <w:rFonts w:ascii="Times New Roman" w:hAnsi="Times New Roman" w:cs="Times New Roman"/>
          <w:sz w:val="24"/>
          <w:szCs w:val="24"/>
        </w:rPr>
        <w:t xml:space="preserve"> </w:t>
      </w:r>
      <w:r w:rsidRPr="005F61B7">
        <w:rPr>
          <w:rFonts w:ascii="Times New Roman" w:hAnsi="Times New Roman" w:cs="Times New Roman"/>
          <w:i/>
          <w:sz w:val="24"/>
          <w:szCs w:val="24"/>
        </w:rPr>
        <w:t>Equality</w:t>
      </w:r>
      <w:r w:rsidRPr="005F61B7">
        <w:rPr>
          <w:rFonts w:ascii="Times New Roman" w:hAnsi="Times New Roman" w:cs="Times New Roman"/>
          <w:sz w:val="24"/>
          <w:szCs w:val="24"/>
        </w:rPr>
        <w:t xml:space="preserve"> means that persons should have barrier-free access to those things that will give them “equality of opportunity and outcome.”</w:t>
      </w:r>
      <w:r w:rsidRPr="005F61B7">
        <w:rPr>
          <w:rStyle w:val="FootnoteReference"/>
          <w:rFonts w:ascii="Times New Roman" w:hAnsi="Times New Roman" w:cs="Times New Roman"/>
          <w:sz w:val="24"/>
          <w:szCs w:val="24"/>
        </w:rPr>
        <w:footnoteReference w:id="18"/>
      </w:r>
      <w:r w:rsidRPr="005F61B7">
        <w:rPr>
          <w:rFonts w:ascii="Times New Roman" w:hAnsi="Times New Roman" w:cs="Times New Roman"/>
          <w:sz w:val="24"/>
          <w:szCs w:val="24"/>
        </w:rPr>
        <w:t xml:space="preserve"> </w:t>
      </w:r>
      <w:r w:rsidRPr="005F61B7">
        <w:rPr>
          <w:rFonts w:ascii="Times New Roman" w:hAnsi="Times New Roman" w:cs="Times New Roman"/>
          <w:i/>
          <w:sz w:val="24"/>
          <w:szCs w:val="24"/>
        </w:rPr>
        <w:t>Universal design</w:t>
      </w:r>
      <w:r w:rsidRPr="005F61B7">
        <w:rPr>
          <w:rFonts w:ascii="Times New Roman" w:hAnsi="Times New Roman" w:cs="Times New Roman"/>
          <w:sz w:val="24"/>
          <w:szCs w:val="24"/>
        </w:rPr>
        <w:t xml:space="preserve"> is the principle that states that access should be provided in a manner that “does not establish or perpetuate differences based on a person’s disability.”</w:t>
      </w:r>
      <w:r w:rsidRPr="005F61B7">
        <w:rPr>
          <w:rStyle w:val="FootnoteReference"/>
          <w:rFonts w:ascii="Times New Roman" w:hAnsi="Times New Roman" w:cs="Times New Roman"/>
          <w:sz w:val="24"/>
          <w:szCs w:val="24"/>
        </w:rPr>
        <w:footnoteReference w:id="19"/>
      </w:r>
      <w:r w:rsidRPr="005F61B7">
        <w:rPr>
          <w:rFonts w:ascii="Times New Roman" w:hAnsi="Times New Roman" w:cs="Times New Roman"/>
          <w:sz w:val="24"/>
          <w:szCs w:val="24"/>
        </w:rPr>
        <w:t xml:space="preserve"> </w:t>
      </w:r>
      <w:r w:rsidR="00B5726B" w:rsidRPr="005F61B7">
        <w:rPr>
          <w:rFonts w:ascii="Times New Roman" w:hAnsi="Times New Roman" w:cs="Times New Roman"/>
          <w:sz w:val="24"/>
          <w:szCs w:val="24"/>
        </w:rPr>
        <w:t>And</w:t>
      </w:r>
      <w:r w:rsidR="00B5726B">
        <w:rPr>
          <w:rFonts w:ascii="Times New Roman" w:hAnsi="Times New Roman" w:cs="Times New Roman"/>
          <w:sz w:val="24"/>
          <w:szCs w:val="24"/>
        </w:rPr>
        <w:t>,</w:t>
      </w:r>
      <w:r w:rsidR="00465504">
        <w:rPr>
          <w:rFonts w:ascii="Times New Roman" w:hAnsi="Times New Roman" w:cs="Times New Roman"/>
          <w:sz w:val="24"/>
          <w:szCs w:val="24"/>
        </w:rPr>
        <w:t xml:space="preserve"> </w:t>
      </w:r>
      <w:r w:rsidRPr="005F61B7">
        <w:rPr>
          <w:rFonts w:ascii="Times New Roman" w:hAnsi="Times New Roman" w:cs="Times New Roman"/>
          <w:sz w:val="24"/>
          <w:szCs w:val="24"/>
        </w:rPr>
        <w:t xml:space="preserve">finally, the principle of </w:t>
      </w:r>
      <w:r w:rsidRPr="005F61B7">
        <w:rPr>
          <w:rFonts w:ascii="Times New Roman" w:hAnsi="Times New Roman" w:cs="Times New Roman"/>
          <w:i/>
          <w:sz w:val="24"/>
          <w:szCs w:val="24"/>
        </w:rPr>
        <w:t>systemic responsibility</w:t>
      </w:r>
      <w:r w:rsidRPr="005F61B7">
        <w:rPr>
          <w:rFonts w:ascii="Times New Roman" w:hAnsi="Times New Roman" w:cs="Times New Roman"/>
          <w:sz w:val="24"/>
          <w:szCs w:val="24"/>
        </w:rPr>
        <w:t xml:space="preserve"> states that “in order to achieve accessibility, persons or organizations that are responsible for establishing or perpetuating the barrier bear the responsibility to prevent and remove them.”</w:t>
      </w:r>
      <w:r w:rsidRPr="005F61B7">
        <w:rPr>
          <w:rStyle w:val="FootnoteReference"/>
          <w:rFonts w:ascii="Times New Roman" w:hAnsi="Times New Roman" w:cs="Times New Roman"/>
          <w:sz w:val="24"/>
          <w:szCs w:val="24"/>
        </w:rPr>
        <w:footnoteReference w:id="20"/>
      </w:r>
      <w:r w:rsidRPr="005F61B7">
        <w:rPr>
          <w:rFonts w:ascii="Times New Roman" w:hAnsi="Times New Roman" w:cs="Times New Roman"/>
          <w:sz w:val="24"/>
          <w:szCs w:val="24"/>
        </w:rPr>
        <w:t xml:space="preserve"> </w:t>
      </w:r>
    </w:p>
    <w:p w:rsidR="00BD052D" w:rsidRPr="005F61B7" w:rsidRDefault="00BD052D">
      <w:pPr>
        <w:jc w:val="both"/>
        <w:rPr>
          <w:rFonts w:ascii="Times New Roman" w:hAnsi="Times New Roman" w:cs="Times New Roman"/>
          <w:sz w:val="24"/>
          <w:szCs w:val="24"/>
        </w:rPr>
      </w:pPr>
      <w:r w:rsidRPr="005F61B7">
        <w:rPr>
          <w:rFonts w:ascii="Times New Roman" w:hAnsi="Times New Roman" w:cs="Times New Roman"/>
          <w:sz w:val="24"/>
          <w:szCs w:val="24"/>
        </w:rPr>
        <w:t>None of the earlier accessibility legislation in Canada has set out guiding principles such as these within the primary statute.</w:t>
      </w:r>
      <w:r w:rsidRPr="005F61B7">
        <w:rPr>
          <w:rStyle w:val="FootnoteReference"/>
          <w:rFonts w:ascii="Times New Roman" w:hAnsi="Times New Roman" w:cs="Times New Roman"/>
          <w:sz w:val="24"/>
          <w:szCs w:val="24"/>
        </w:rPr>
        <w:footnoteReference w:id="21"/>
      </w:r>
      <w:r w:rsidR="0069540A">
        <w:rPr>
          <w:rFonts w:ascii="Times New Roman" w:hAnsi="Times New Roman" w:cs="Times New Roman"/>
          <w:sz w:val="24"/>
          <w:szCs w:val="24"/>
        </w:rPr>
        <w:t xml:space="preserve"> </w:t>
      </w:r>
      <w:r w:rsidR="00B5726B">
        <w:rPr>
          <w:rFonts w:ascii="Times New Roman" w:hAnsi="Times New Roman" w:cs="Times New Roman"/>
          <w:sz w:val="24"/>
          <w:szCs w:val="24"/>
        </w:rPr>
        <w:t>T</w:t>
      </w:r>
      <w:r w:rsidRPr="005F61B7">
        <w:rPr>
          <w:rFonts w:ascii="Times New Roman" w:hAnsi="Times New Roman" w:cs="Times New Roman"/>
          <w:sz w:val="24"/>
          <w:szCs w:val="24"/>
        </w:rPr>
        <w:t>his is a new development within Canadian accessibility legislation. It also seems to be a positive one. The literature on access laws indicates that one of the reasons for their failure in other jurisdictions is that a capitalist market society will emphasize profit over other potential social objectives.</w:t>
      </w:r>
      <w:r w:rsidRPr="005F61B7">
        <w:rPr>
          <w:rStyle w:val="FootnoteReference"/>
          <w:rFonts w:ascii="Times New Roman" w:hAnsi="Times New Roman" w:cs="Times New Roman"/>
          <w:sz w:val="24"/>
          <w:szCs w:val="24"/>
        </w:rPr>
        <w:footnoteReference w:id="22"/>
      </w:r>
      <w:r w:rsidRPr="005F61B7">
        <w:rPr>
          <w:rFonts w:ascii="Times New Roman" w:hAnsi="Times New Roman" w:cs="Times New Roman"/>
          <w:sz w:val="24"/>
          <w:szCs w:val="24"/>
        </w:rPr>
        <w:t xml:space="preserve"> By explicitly outlining guiding principles for those subject to the statute, there is a greater chance of countering capitalist tendencies to focus on market-based success as opposed to equal access and social well-being. This is particularly true when it comes to the last principle</w:t>
      </w:r>
      <w:r w:rsidR="00E736D5">
        <w:rPr>
          <w:rFonts w:ascii="Times New Roman" w:hAnsi="Times New Roman" w:cs="Times New Roman"/>
          <w:sz w:val="24"/>
          <w:szCs w:val="24"/>
        </w:rPr>
        <w:t xml:space="preserve"> – </w:t>
      </w:r>
      <w:r w:rsidRPr="005F61B7">
        <w:rPr>
          <w:rFonts w:ascii="Times New Roman" w:hAnsi="Times New Roman" w:cs="Times New Roman"/>
          <w:sz w:val="24"/>
          <w:szCs w:val="24"/>
        </w:rPr>
        <w:t xml:space="preserve">systemic responsibility. Placing the responsibility for preventing and removing barriers on the person or organization </w:t>
      </w:r>
      <w:r w:rsidR="00B5726B">
        <w:rPr>
          <w:rFonts w:ascii="Times New Roman" w:hAnsi="Times New Roman" w:cs="Times New Roman"/>
          <w:sz w:val="24"/>
          <w:szCs w:val="24"/>
        </w:rPr>
        <w:t xml:space="preserve">that </w:t>
      </w:r>
      <w:r w:rsidRPr="005F61B7">
        <w:rPr>
          <w:rFonts w:ascii="Times New Roman" w:hAnsi="Times New Roman" w:cs="Times New Roman"/>
          <w:sz w:val="24"/>
          <w:szCs w:val="24"/>
        </w:rPr>
        <w:t xml:space="preserve">has caused or perpetuated </w:t>
      </w:r>
      <w:r w:rsidR="00B5726B">
        <w:rPr>
          <w:rFonts w:ascii="Times New Roman" w:hAnsi="Times New Roman" w:cs="Times New Roman"/>
          <w:sz w:val="24"/>
          <w:szCs w:val="24"/>
        </w:rPr>
        <w:t xml:space="preserve">them </w:t>
      </w:r>
      <w:r w:rsidRPr="005F61B7">
        <w:rPr>
          <w:rFonts w:ascii="Times New Roman" w:hAnsi="Times New Roman" w:cs="Times New Roman"/>
          <w:sz w:val="24"/>
          <w:szCs w:val="24"/>
        </w:rPr>
        <w:t xml:space="preserve">is not </w:t>
      </w:r>
      <w:r w:rsidRPr="005F61B7">
        <w:rPr>
          <w:rFonts w:ascii="Times New Roman" w:hAnsi="Times New Roman" w:cs="Times New Roman"/>
          <w:sz w:val="24"/>
          <w:szCs w:val="24"/>
        </w:rPr>
        <w:lastRenderedPageBreak/>
        <w:t>necessarily intuitive in the practice of equality law. Equality law often emphasizes the notion of reasonable accommodation which allows for mitigating the barrier and accommodating the individual with the disability</w:t>
      </w:r>
      <w:r w:rsidR="00B5726B">
        <w:rPr>
          <w:rFonts w:ascii="Times New Roman" w:hAnsi="Times New Roman" w:cs="Times New Roman"/>
          <w:sz w:val="24"/>
          <w:szCs w:val="24"/>
        </w:rPr>
        <w:t>,</w:t>
      </w:r>
      <w:r w:rsidRPr="005F61B7">
        <w:rPr>
          <w:rFonts w:ascii="Times New Roman" w:hAnsi="Times New Roman" w:cs="Times New Roman"/>
          <w:sz w:val="24"/>
          <w:szCs w:val="24"/>
        </w:rPr>
        <w:t xml:space="preserve"> so long as this process does not cause undue hardship to the responding person or organization.</w:t>
      </w:r>
      <w:r w:rsidR="00B5726B">
        <w:rPr>
          <w:rStyle w:val="FootnoteReference"/>
          <w:rFonts w:ascii="Times New Roman" w:hAnsi="Times New Roman" w:cs="Times New Roman"/>
          <w:sz w:val="24"/>
          <w:szCs w:val="24"/>
        </w:rPr>
        <w:footnoteReference w:id="23"/>
      </w:r>
      <w:r w:rsidRPr="005F61B7">
        <w:rPr>
          <w:rFonts w:ascii="Times New Roman" w:hAnsi="Times New Roman" w:cs="Times New Roman"/>
          <w:sz w:val="24"/>
          <w:szCs w:val="24"/>
        </w:rPr>
        <w:t xml:space="preserve"> The principle of systemic responsibility has the potential to be a much bolder requirement that may force persons and organizations, including workplaces and shops, to prevent and remove barriers, not merely to mitigate and accommodate.</w:t>
      </w:r>
    </w:p>
    <w:p w:rsidR="00BD052D" w:rsidRPr="001F23C2" w:rsidRDefault="00BD052D" w:rsidP="00884048">
      <w:pPr>
        <w:pStyle w:val="Heading2"/>
        <w:numPr>
          <w:ilvl w:val="0"/>
          <w:numId w:val="1"/>
        </w:numPr>
        <w:jc w:val="both"/>
      </w:pPr>
      <w:r w:rsidRPr="001F23C2">
        <w:t>The AMA and the Social Model of Disability</w:t>
      </w:r>
    </w:p>
    <w:p w:rsidR="00BD052D" w:rsidRPr="002341A5" w:rsidRDefault="00BD052D">
      <w:pPr>
        <w:jc w:val="both"/>
        <w:rPr>
          <w:rFonts w:ascii="Times New Roman" w:hAnsi="Times New Roman" w:cs="Times New Roman"/>
          <w:sz w:val="24"/>
          <w:szCs w:val="24"/>
        </w:rPr>
      </w:pPr>
      <w:r w:rsidRPr="002341A5">
        <w:rPr>
          <w:rFonts w:ascii="Times New Roman" w:hAnsi="Times New Roman" w:cs="Times New Roman"/>
          <w:sz w:val="24"/>
          <w:szCs w:val="24"/>
        </w:rPr>
        <w:t>The AMA is based on the social model of disability</w:t>
      </w:r>
      <w:r w:rsidR="00837159" w:rsidRPr="002341A5">
        <w:rPr>
          <w:rFonts w:ascii="Times New Roman" w:hAnsi="Times New Roman" w:cs="Times New Roman"/>
          <w:sz w:val="24"/>
          <w:szCs w:val="24"/>
        </w:rPr>
        <w:t xml:space="preserve"> </w:t>
      </w:r>
      <w:r w:rsidRPr="002341A5">
        <w:rPr>
          <w:rFonts w:ascii="Times New Roman" w:hAnsi="Times New Roman" w:cs="Times New Roman"/>
          <w:sz w:val="24"/>
          <w:szCs w:val="24"/>
        </w:rPr>
        <w:t xml:space="preserve">which locates disability within society, as opposed to within the individual. The social model </w:t>
      </w:r>
      <w:r w:rsidR="0075151C" w:rsidRPr="002341A5">
        <w:rPr>
          <w:rFonts w:ascii="Times New Roman" w:hAnsi="Times New Roman" w:cs="Times New Roman"/>
          <w:sz w:val="24"/>
          <w:szCs w:val="24"/>
        </w:rPr>
        <w:t xml:space="preserve">can be defined </w:t>
      </w:r>
      <w:r w:rsidRPr="002341A5">
        <w:rPr>
          <w:rFonts w:ascii="Times New Roman" w:hAnsi="Times New Roman" w:cs="Times New Roman"/>
          <w:sz w:val="24"/>
          <w:szCs w:val="24"/>
        </w:rPr>
        <w:t>generally as having “a basic political commitment to improving the lives of disabled people, by promoting social inclusion and removing the barriers [that] oppress</w:t>
      </w:r>
      <w:r w:rsidR="0069540A" w:rsidRPr="002341A5">
        <w:rPr>
          <w:rFonts w:ascii="Times New Roman" w:hAnsi="Times New Roman" w:cs="Times New Roman"/>
          <w:sz w:val="24"/>
          <w:szCs w:val="24"/>
        </w:rPr>
        <w:t>.</w:t>
      </w:r>
      <w:r w:rsidRPr="002341A5">
        <w:rPr>
          <w:rFonts w:ascii="Times New Roman" w:hAnsi="Times New Roman" w:cs="Times New Roman"/>
          <w:sz w:val="24"/>
          <w:szCs w:val="24"/>
        </w:rPr>
        <w:t>”</w:t>
      </w:r>
      <w:r w:rsidRPr="002341A5">
        <w:rPr>
          <w:rStyle w:val="FootnoteReference"/>
          <w:rFonts w:ascii="Times New Roman" w:hAnsi="Times New Roman" w:cs="Times New Roman"/>
          <w:sz w:val="24"/>
          <w:szCs w:val="24"/>
        </w:rPr>
        <w:footnoteReference w:id="24"/>
      </w:r>
      <w:r w:rsidRPr="002341A5">
        <w:rPr>
          <w:rFonts w:ascii="Times New Roman" w:hAnsi="Times New Roman" w:cs="Times New Roman"/>
          <w:sz w:val="24"/>
          <w:szCs w:val="24"/>
        </w:rPr>
        <w:t xml:space="preserve"> The statute uses the expression “persons disabled by barriers”</w:t>
      </w:r>
      <w:r w:rsidRPr="002341A5" w:rsidDel="002C4DFD">
        <w:rPr>
          <w:rFonts w:ascii="Times New Roman" w:hAnsi="Times New Roman" w:cs="Times New Roman"/>
          <w:sz w:val="24"/>
          <w:szCs w:val="24"/>
        </w:rPr>
        <w:t xml:space="preserve"> </w:t>
      </w:r>
      <w:r w:rsidRPr="002341A5">
        <w:rPr>
          <w:rFonts w:ascii="Times New Roman" w:hAnsi="Times New Roman" w:cs="Times New Roman"/>
          <w:sz w:val="24"/>
          <w:szCs w:val="24"/>
        </w:rPr>
        <w:t>and does not explicitly define “disability.” Instead, the AMA socially constructs disability in many ways, including through the language used to describe the purpose of the legislation. By stating that the purpose of the Act is to “achieve accessibility by preventing and removing barriers that disable people</w:t>
      </w:r>
      <w:r w:rsidR="0069540A" w:rsidRPr="002341A5">
        <w:rPr>
          <w:rFonts w:ascii="Times New Roman" w:hAnsi="Times New Roman" w:cs="Times New Roman"/>
          <w:sz w:val="24"/>
          <w:szCs w:val="24"/>
        </w:rPr>
        <w:t>,</w:t>
      </w:r>
      <w:r w:rsidRPr="002341A5">
        <w:rPr>
          <w:rFonts w:ascii="Times New Roman" w:hAnsi="Times New Roman" w:cs="Times New Roman"/>
          <w:sz w:val="24"/>
          <w:szCs w:val="24"/>
        </w:rPr>
        <w:t>”</w:t>
      </w:r>
      <w:r w:rsidR="00E43765">
        <w:rPr>
          <w:rStyle w:val="FootnoteReference"/>
          <w:rFonts w:ascii="Times New Roman" w:hAnsi="Times New Roman" w:cs="Times New Roman"/>
          <w:sz w:val="24"/>
          <w:szCs w:val="24"/>
        </w:rPr>
        <w:footnoteReference w:id="25"/>
      </w:r>
      <w:r w:rsidR="00E43765" w:rsidRPr="002341A5" w:rsidDel="00E43765">
        <w:rPr>
          <w:rStyle w:val="FootnoteReference"/>
          <w:rFonts w:ascii="Times New Roman" w:hAnsi="Times New Roman" w:cs="Times New Roman"/>
          <w:sz w:val="24"/>
          <w:szCs w:val="24"/>
        </w:rPr>
        <w:t xml:space="preserve"> </w:t>
      </w:r>
      <w:r w:rsidR="00E43765">
        <w:rPr>
          <w:rFonts w:ascii="Times New Roman" w:hAnsi="Times New Roman" w:cs="Times New Roman"/>
          <w:sz w:val="24"/>
          <w:szCs w:val="24"/>
        </w:rPr>
        <w:t xml:space="preserve"> </w:t>
      </w:r>
      <w:r w:rsidRPr="002341A5">
        <w:rPr>
          <w:rFonts w:ascii="Times New Roman" w:hAnsi="Times New Roman" w:cs="Times New Roman"/>
          <w:sz w:val="24"/>
          <w:szCs w:val="24"/>
        </w:rPr>
        <w:t xml:space="preserve">the AMA infers that disability arises from </w:t>
      </w:r>
      <w:r w:rsidR="0075151C" w:rsidRPr="002341A5">
        <w:rPr>
          <w:rFonts w:ascii="Times New Roman" w:hAnsi="Times New Roman" w:cs="Times New Roman"/>
          <w:sz w:val="24"/>
          <w:szCs w:val="24"/>
        </w:rPr>
        <w:t xml:space="preserve">obstacles </w:t>
      </w:r>
      <w:r w:rsidRPr="002341A5">
        <w:rPr>
          <w:rFonts w:ascii="Times New Roman" w:hAnsi="Times New Roman" w:cs="Times New Roman"/>
          <w:sz w:val="24"/>
          <w:szCs w:val="24"/>
        </w:rPr>
        <w:t xml:space="preserve">that exist within society. </w:t>
      </w:r>
    </w:p>
    <w:p w:rsidR="00BD052D" w:rsidRPr="002341A5" w:rsidRDefault="00BD052D">
      <w:pPr>
        <w:jc w:val="both"/>
        <w:rPr>
          <w:rFonts w:ascii="Times New Roman" w:hAnsi="Times New Roman" w:cs="Times New Roman"/>
          <w:sz w:val="24"/>
          <w:szCs w:val="24"/>
        </w:rPr>
      </w:pPr>
      <w:r w:rsidRPr="002341A5">
        <w:rPr>
          <w:rFonts w:ascii="Times New Roman" w:hAnsi="Times New Roman" w:cs="Times New Roman"/>
          <w:sz w:val="24"/>
          <w:szCs w:val="24"/>
        </w:rPr>
        <w:t xml:space="preserve">Defining disability as a social construct is significant for several reasons. First, it can be argued that this perspective is a step in the right direction towards greater understanding and acceptance of disability; it presents a more inclusive way of thinking about disability within society. By presenting disability as a widespread experience, more people are inclined to think about it, and </w:t>
      </w:r>
      <w:r w:rsidR="00A447B5" w:rsidRPr="002341A5">
        <w:rPr>
          <w:rFonts w:ascii="Times New Roman" w:hAnsi="Times New Roman" w:cs="Times New Roman"/>
          <w:sz w:val="24"/>
          <w:szCs w:val="24"/>
        </w:rPr>
        <w:t xml:space="preserve">to </w:t>
      </w:r>
      <w:r w:rsidRPr="002341A5">
        <w:rPr>
          <w:rFonts w:ascii="Times New Roman" w:hAnsi="Times New Roman" w:cs="Times New Roman"/>
          <w:sz w:val="24"/>
          <w:szCs w:val="24"/>
        </w:rPr>
        <w:t xml:space="preserve">consider disability as an experience (rather than medical condition) that could happen to them. This is significant in so far as it helps to justify the necessity of the AMA and the cost of implementing the accessibility standards in society. Stated simply, if people believe that an issue affects them, they will likely be more inclined to do something about it. Thus, it can be argued that the AMA has an additional philosophical goal of changing the definition of disability from a condition that affects individuals to an experience that can affect everyone, and an additional social goal of changing the way Manitobans think about disability. Disability as a social construct </w:t>
      </w:r>
      <w:r w:rsidR="005E10E1" w:rsidRPr="002341A5">
        <w:rPr>
          <w:rFonts w:ascii="Times New Roman" w:hAnsi="Times New Roman" w:cs="Times New Roman"/>
          <w:sz w:val="24"/>
          <w:szCs w:val="24"/>
        </w:rPr>
        <w:t xml:space="preserve">also </w:t>
      </w:r>
      <w:r w:rsidRPr="002341A5">
        <w:rPr>
          <w:rFonts w:ascii="Times New Roman" w:hAnsi="Times New Roman" w:cs="Times New Roman"/>
          <w:sz w:val="24"/>
          <w:szCs w:val="24"/>
        </w:rPr>
        <w:t>works well in promoting universal design that is barrier-free, in this way promoting one of the guiding principles of the statute described above.</w:t>
      </w:r>
    </w:p>
    <w:p w:rsidR="00BD052D" w:rsidRDefault="00BD052D">
      <w:pPr>
        <w:pStyle w:val="FootnoteText"/>
        <w:spacing w:line="276" w:lineRule="auto"/>
        <w:jc w:val="both"/>
        <w:rPr>
          <w:rFonts w:ascii="Times New Roman" w:hAnsi="Times New Roman" w:cs="Times New Roman"/>
        </w:rPr>
      </w:pPr>
      <w:r w:rsidRPr="002341A5">
        <w:rPr>
          <w:rFonts w:ascii="Times New Roman" w:hAnsi="Times New Roman" w:cs="Times New Roman"/>
        </w:rPr>
        <w:lastRenderedPageBreak/>
        <w:t>But, the social model of disability has encountered many challenges in theory and in practice</w:t>
      </w:r>
      <w:r w:rsidR="005F61B7" w:rsidRPr="002341A5">
        <w:rPr>
          <w:rFonts w:ascii="Times New Roman" w:hAnsi="Times New Roman" w:cs="Times New Roman"/>
        </w:rPr>
        <w:t>,</w:t>
      </w:r>
      <w:r w:rsidRPr="002341A5">
        <w:rPr>
          <w:rStyle w:val="FootnoteReference"/>
          <w:rFonts w:ascii="Times New Roman" w:hAnsi="Times New Roman" w:cs="Times New Roman"/>
        </w:rPr>
        <w:footnoteReference w:id="26"/>
      </w:r>
      <w:r w:rsidR="004E20FB" w:rsidRPr="002341A5">
        <w:rPr>
          <w:rFonts w:ascii="Times New Roman" w:hAnsi="Times New Roman" w:cs="Times New Roman"/>
        </w:rPr>
        <w:t xml:space="preserve"> </w:t>
      </w:r>
      <w:r w:rsidRPr="002341A5">
        <w:rPr>
          <w:rFonts w:ascii="Times New Roman" w:hAnsi="Times New Roman" w:cs="Times New Roman"/>
        </w:rPr>
        <w:t xml:space="preserve">and there are problems that can arise from using such a widespread, socially constructed definition in this piece of legislation. In a recent reflection on the 30 years since the social model was introduced in the UK, Michael Oliver, who is credited for conceptualizing the social model, suggests that there are two main critiques </w:t>
      </w:r>
      <w:r w:rsidR="00A447B5" w:rsidRPr="002341A5">
        <w:rPr>
          <w:rFonts w:ascii="Times New Roman" w:hAnsi="Times New Roman" w:cs="Times New Roman"/>
        </w:rPr>
        <w:t xml:space="preserve">of it </w:t>
      </w:r>
      <w:r w:rsidRPr="002341A5">
        <w:rPr>
          <w:rFonts w:ascii="Times New Roman" w:hAnsi="Times New Roman" w:cs="Times New Roman"/>
        </w:rPr>
        <w:t>that have arisen.</w:t>
      </w:r>
      <w:r w:rsidRPr="002341A5">
        <w:rPr>
          <w:rStyle w:val="FootnoteReference"/>
          <w:rFonts w:ascii="Times New Roman" w:hAnsi="Times New Roman" w:cs="Times New Roman"/>
        </w:rPr>
        <w:footnoteReference w:id="27"/>
      </w:r>
      <w:r w:rsidRPr="002341A5">
        <w:rPr>
          <w:rFonts w:ascii="Times New Roman" w:hAnsi="Times New Roman" w:cs="Times New Roman"/>
        </w:rPr>
        <w:t xml:space="preserve"> Firstly, the social model has been criticized for not paying sufficient attention to the important role that impairment plays in the lives of persons with disabilities. Anita Silvers, for example, notes that being impaired, in</w:t>
      </w:r>
      <w:r>
        <w:rPr>
          <w:rFonts w:ascii="Times New Roman" w:hAnsi="Times New Roman" w:cs="Times New Roman"/>
        </w:rPr>
        <w:t xml:space="preserve"> pain, weakened and vulnerable are some of the core embodied experiences of many people with disabilities.</w:t>
      </w:r>
      <w:r>
        <w:rPr>
          <w:rStyle w:val="FootnoteReference"/>
          <w:rFonts w:ascii="Times New Roman" w:hAnsi="Times New Roman" w:cs="Times New Roman"/>
        </w:rPr>
        <w:footnoteReference w:id="28"/>
      </w:r>
      <w:r>
        <w:rPr>
          <w:rFonts w:ascii="Times New Roman" w:hAnsi="Times New Roman" w:cs="Times New Roman"/>
        </w:rPr>
        <w:t xml:space="preserve"> </w:t>
      </w:r>
      <w:r w:rsidR="004832E7">
        <w:rPr>
          <w:rFonts w:ascii="Times New Roman" w:hAnsi="Times New Roman" w:cs="Times New Roman"/>
        </w:rPr>
        <w:t>Indeed</w:t>
      </w:r>
      <w:r>
        <w:rPr>
          <w:rFonts w:ascii="Times New Roman" w:hAnsi="Times New Roman" w:cs="Times New Roman"/>
        </w:rPr>
        <w:t>,</w:t>
      </w:r>
      <w:r w:rsidRPr="004339B0">
        <w:rPr>
          <w:rFonts w:ascii="Times New Roman" w:hAnsi="Times New Roman" w:cs="Times New Roman"/>
        </w:rPr>
        <w:t xml:space="preserve"> </w:t>
      </w:r>
      <w:r>
        <w:rPr>
          <w:rFonts w:ascii="Times New Roman" w:hAnsi="Times New Roman" w:cs="Times New Roman"/>
        </w:rPr>
        <w:t>difficulties already exist on the ground with respect to how accessibility legislation deals with those who experience episodic disabilities</w:t>
      </w:r>
      <w:r w:rsidR="00A447B5">
        <w:rPr>
          <w:rFonts w:ascii="Times New Roman" w:hAnsi="Times New Roman" w:cs="Times New Roman"/>
        </w:rPr>
        <w:t xml:space="preserve"> due to their impairments</w:t>
      </w:r>
      <w:r>
        <w:rPr>
          <w:rFonts w:ascii="Times New Roman" w:hAnsi="Times New Roman" w:cs="Times New Roman"/>
        </w:rPr>
        <w:t xml:space="preserve">.  </w:t>
      </w:r>
    </w:p>
    <w:p w:rsidR="00BD052D" w:rsidRPr="005F61B7" w:rsidRDefault="00BD052D" w:rsidP="00884048">
      <w:pPr>
        <w:pStyle w:val="FootnoteText"/>
        <w:jc w:val="both"/>
        <w:rPr>
          <w:rFonts w:ascii="Times New Roman" w:hAnsi="Times New Roman" w:cs="Times New Roman"/>
        </w:rPr>
      </w:pPr>
    </w:p>
    <w:p w:rsidR="00BD052D" w:rsidRDefault="00BD052D">
      <w:pPr>
        <w:pStyle w:val="FootnoteText"/>
        <w:spacing w:line="276" w:lineRule="auto"/>
        <w:jc w:val="both"/>
        <w:rPr>
          <w:rFonts w:ascii="Times New Roman" w:hAnsi="Times New Roman" w:cs="Times New Roman"/>
        </w:rPr>
      </w:pPr>
      <w:r w:rsidRPr="005F61B7">
        <w:rPr>
          <w:rFonts w:ascii="Times New Roman" w:hAnsi="Times New Roman" w:cs="Times New Roman"/>
        </w:rPr>
        <w:t>Episodic disabilities, such as HIV and arthritis, are characterized by unpredictable and fluctuating periods of medical impairment and wellness.</w:t>
      </w:r>
      <w:r w:rsidRPr="005F61B7">
        <w:rPr>
          <w:rStyle w:val="FootnoteReference"/>
          <w:rFonts w:ascii="Times New Roman" w:hAnsi="Times New Roman" w:cs="Times New Roman"/>
        </w:rPr>
        <w:footnoteReference w:id="29"/>
      </w:r>
      <w:r w:rsidRPr="005F61B7">
        <w:rPr>
          <w:rFonts w:ascii="Times New Roman" w:hAnsi="Times New Roman" w:cs="Times New Roman"/>
        </w:rPr>
        <w:t xml:space="preserve"> In Ontario, the </w:t>
      </w:r>
      <w:r w:rsidRPr="00E57049">
        <w:rPr>
          <w:rFonts w:ascii="Times New Roman" w:hAnsi="Times New Roman" w:cs="Times New Roman"/>
          <w:i/>
        </w:rPr>
        <w:t>AODA Employment Standards</w:t>
      </w:r>
      <w:r w:rsidR="005358AF">
        <w:rPr>
          <w:rStyle w:val="FootnoteReference"/>
          <w:rFonts w:ascii="Times New Roman" w:hAnsi="Times New Roman" w:cs="Times New Roman"/>
        </w:rPr>
        <w:footnoteReference w:id="30"/>
      </w:r>
      <w:r w:rsidRPr="005F61B7">
        <w:rPr>
          <w:rFonts w:ascii="Times New Roman" w:hAnsi="Times New Roman" w:cs="Times New Roman"/>
        </w:rPr>
        <w:t xml:space="preserve"> provide a process for providing accommodation that works well for persons with long-term or short-term stable disabilities</w:t>
      </w:r>
      <w:r w:rsidR="00261258">
        <w:rPr>
          <w:rFonts w:ascii="Times New Roman" w:hAnsi="Times New Roman" w:cs="Times New Roman"/>
        </w:rPr>
        <w:t>,</w:t>
      </w:r>
      <w:r w:rsidRPr="005F61B7">
        <w:rPr>
          <w:rFonts w:ascii="Times New Roman" w:hAnsi="Times New Roman" w:cs="Times New Roman"/>
        </w:rPr>
        <w:t xml:space="preserve"> but that has the potential to prove problematic for individuals with episodic disabilities. Under the standards, employer</w:t>
      </w:r>
      <w:r w:rsidR="00C2228D">
        <w:rPr>
          <w:rFonts w:ascii="Times New Roman" w:hAnsi="Times New Roman" w:cs="Times New Roman"/>
        </w:rPr>
        <w:t>s are</w:t>
      </w:r>
      <w:r w:rsidRPr="005F61B7">
        <w:rPr>
          <w:rFonts w:ascii="Times New Roman" w:hAnsi="Times New Roman" w:cs="Times New Roman"/>
        </w:rPr>
        <w:t xml:space="preserve"> obligated to create a written process for the development of individualized accommodation plans for employees with disabilities.</w:t>
      </w:r>
      <w:r w:rsidRPr="005F61B7">
        <w:rPr>
          <w:rStyle w:val="FootnoteReference"/>
          <w:rFonts w:ascii="Times New Roman" w:hAnsi="Times New Roman" w:cs="Times New Roman"/>
        </w:rPr>
        <w:footnoteReference w:id="31"/>
      </w:r>
      <w:r w:rsidRPr="005F61B7">
        <w:rPr>
          <w:rFonts w:ascii="Times New Roman" w:hAnsi="Times New Roman" w:cs="Times New Roman"/>
        </w:rPr>
        <w:t xml:space="preserve"> This requirement focuses on procedural matters only. The </w:t>
      </w:r>
      <w:r w:rsidR="005358AF">
        <w:rPr>
          <w:rFonts w:ascii="Times New Roman" w:hAnsi="Times New Roman" w:cs="Times New Roman"/>
        </w:rPr>
        <w:t xml:space="preserve">written </w:t>
      </w:r>
      <w:r w:rsidRPr="005F61B7">
        <w:rPr>
          <w:rFonts w:ascii="Times New Roman" w:hAnsi="Times New Roman" w:cs="Times New Roman"/>
        </w:rPr>
        <w:t xml:space="preserve">process </w:t>
      </w:r>
      <w:r w:rsidR="005358AF">
        <w:rPr>
          <w:rFonts w:ascii="Times New Roman" w:hAnsi="Times New Roman" w:cs="Times New Roman"/>
        </w:rPr>
        <w:t xml:space="preserve">must </w:t>
      </w:r>
      <w:r w:rsidRPr="005F61B7">
        <w:rPr>
          <w:rFonts w:ascii="Times New Roman" w:hAnsi="Times New Roman" w:cs="Times New Roman"/>
        </w:rPr>
        <w:t xml:space="preserve">highlight how an employer can request outside medical expertise, how the employee’s privacy will be protected, and the frequency of review of the accommodation plan, etc.. The </w:t>
      </w:r>
      <w:r w:rsidR="005358AF" w:rsidRPr="00E57049">
        <w:rPr>
          <w:rFonts w:ascii="Times New Roman" w:hAnsi="Times New Roman" w:cs="Times New Roman"/>
          <w:i/>
        </w:rPr>
        <w:t xml:space="preserve">AODA </w:t>
      </w:r>
      <w:r w:rsidRPr="00E57049">
        <w:rPr>
          <w:rFonts w:ascii="Times New Roman" w:hAnsi="Times New Roman" w:cs="Times New Roman"/>
          <w:i/>
        </w:rPr>
        <w:t>Employment Standards</w:t>
      </w:r>
      <w:r w:rsidRPr="005F61B7">
        <w:rPr>
          <w:rFonts w:ascii="Times New Roman" w:hAnsi="Times New Roman" w:cs="Times New Roman"/>
        </w:rPr>
        <w:t xml:space="preserve"> indicate that the accessibility needs and the accommodation plan must be taken into account in performance management. However, the standard</w:t>
      </w:r>
      <w:r w:rsidR="00FC34B9">
        <w:rPr>
          <w:rFonts w:ascii="Times New Roman" w:hAnsi="Times New Roman" w:cs="Times New Roman"/>
        </w:rPr>
        <w:t>s</w:t>
      </w:r>
      <w:r w:rsidRPr="005F61B7">
        <w:rPr>
          <w:rFonts w:ascii="Times New Roman" w:hAnsi="Times New Roman" w:cs="Times New Roman"/>
        </w:rPr>
        <w:t xml:space="preserve"> do not indicate whether the employee will be involved in developing the process for the performance evaluation that will be used. Therefore, a dedicated employee who works (painfully) from home during a flare up of their episodic disability may not have that work appropriately recognized. A person with episodic disabilities will need to be astute about pushing for an accommodation plan that addresses the issue of performance management at the outset, in order to avoid the need to pursue relief for human rights violations later. There is </w:t>
      </w:r>
      <w:r w:rsidR="00FC34B9">
        <w:rPr>
          <w:rFonts w:ascii="Times New Roman" w:hAnsi="Times New Roman" w:cs="Times New Roman"/>
        </w:rPr>
        <w:t>the</w:t>
      </w:r>
      <w:r w:rsidRPr="005F61B7">
        <w:rPr>
          <w:rFonts w:ascii="Times New Roman" w:hAnsi="Times New Roman" w:cs="Times New Roman"/>
        </w:rPr>
        <w:t xml:space="preserve"> potential for this problem to exist under the AMA as well. At the same time, if cognizant of the challenge, disability advocates may </w:t>
      </w:r>
      <w:r w:rsidRPr="005F61B7">
        <w:rPr>
          <w:rFonts w:ascii="Times New Roman" w:hAnsi="Times New Roman" w:cs="Times New Roman"/>
        </w:rPr>
        <w:lastRenderedPageBreak/>
        <w:t xml:space="preserve">be able to </w:t>
      </w:r>
      <w:r w:rsidR="00982654">
        <w:rPr>
          <w:rFonts w:ascii="Times New Roman" w:hAnsi="Times New Roman" w:cs="Times New Roman"/>
        </w:rPr>
        <w:t>press</w:t>
      </w:r>
      <w:r w:rsidR="00982654" w:rsidRPr="005F61B7">
        <w:rPr>
          <w:rFonts w:ascii="Times New Roman" w:hAnsi="Times New Roman" w:cs="Times New Roman"/>
        </w:rPr>
        <w:t xml:space="preserve"> </w:t>
      </w:r>
      <w:r w:rsidRPr="005F61B7">
        <w:rPr>
          <w:rFonts w:ascii="Times New Roman" w:hAnsi="Times New Roman" w:cs="Times New Roman"/>
        </w:rPr>
        <w:t>for stronger protection of episodic disabilities and, more generally, for the recognition of the needs associated with different types of impairments, through the standard development process on the ground.</w:t>
      </w:r>
    </w:p>
    <w:p w:rsidR="004832E7" w:rsidRPr="005F61B7" w:rsidRDefault="004832E7" w:rsidP="00884048">
      <w:pPr>
        <w:pStyle w:val="FootnoteText"/>
        <w:jc w:val="both"/>
        <w:rPr>
          <w:rFonts w:ascii="Times New Roman" w:hAnsi="Times New Roman" w:cs="Times New Roman"/>
        </w:rPr>
      </w:pPr>
    </w:p>
    <w:p w:rsidR="00BD052D" w:rsidRPr="00D3581C" w:rsidRDefault="00BD052D">
      <w:pPr>
        <w:jc w:val="both"/>
        <w:rPr>
          <w:rFonts w:ascii="Times New Roman" w:hAnsi="Times New Roman" w:cs="Times New Roman"/>
          <w:sz w:val="24"/>
          <w:szCs w:val="24"/>
        </w:rPr>
      </w:pPr>
      <w:r w:rsidRPr="005F61B7">
        <w:rPr>
          <w:rFonts w:ascii="Times New Roman" w:hAnsi="Times New Roman" w:cs="Times New Roman"/>
          <w:sz w:val="24"/>
          <w:szCs w:val="24"/>
        </w:rPr>
        <w:t>In addition to misrecognizing the role of impairment, the social model has faced a second criticism for failing to account for difference and, as a consequence, presenting the disability community as a unitary group.</w:t>
      </w:r>
      <w:r w:rsidRPr="005F61B7">
        <w:rPr>
          <w:rStyle w:val="FootnoteReference"/>
          <w:rFonts w:ascii="Times New Roman" w:hAnsi="Times New Roman" w:cs="Times New Roman"/>
          <w:sz w:val="24"/>
          <w:szCs w:val="24"/>
        </w:rPr>
        <w:footnoteReference w:id="32"/>
      </w:r>
      <w:r w:rsidRPr="005F61B7">
        <w:rPr>
          <w:rFonts w:ascii="Times New Roman" w:hAnsi="Times New Roman" w:cs="Times New Roman"/>
          <w:sz w:val="24"/>
          <w:szCs w:val="24"/>
        </w:rPr>
        <w:t xml:space="preserve"> Recognizing disability as a uniquely lived experience is crucial to accepting and celebrating diversity, and understanding how accessibility standards can be made in order to accommodate a variety of individuals with diverse needs. In discussing the value of critical disability studies, Simi Linton explains that disability studies offers “a prism through which one can gain a broader understanding of society and human experience, and the significance of human variation</w:t>
      </w:r>
      <w:r w:rsidR="008C6941">
        <w:rPr>
          <w:rFonts w:ascii="Times New Roman" w:hAnsi="Times New Roman" w:cs="Times New Roman"/>
          <w:sz w:val="24"/>
          <w:szCs w:val="24"/>
        </w:rPr>
        <w:t>.</w:t>
      </w:r>
      <w:r w:rsidRPr="005F61B7">
        <w:rPr>
          <w:rFonts w:ascii="Times New Roman" w:hAnsi="Times New Roman" w:cs="Times New Roman"/>
          <w:sz w:val="24"/>
          <w:szCs w:val="24"/>
        </w:rPr>
        <w:t>”</w:t>
      </w:r>
      <w:r w:rsidRPr="005F61B7">
        <w:rPr>
          <w:rStyle w:val="FootnoteReference"/>
          <w:rFonts w:ascii="Times New Roman" w:hAnsi="Times New Roman" w:cs="Times New Roman"/>
          <w:sz w:val="24"/>
          <w:szCs w:val="24"/>
        </w:rPr>
        <w:footnoteReference w:id="33"/>
      </w:r>
      <w:r w:rsidRPr="005F61B7">
        <w:rPr>
          <w:rFonts w:ascii="Times New Roman" w:hAnsi="Times New Roman" w:cs="Times New Roman"/>
          <w:sz w:val="24"/>
          <w:szCs w:val="24"/>
        </w:rPr>
        <w:t xml:space="preserve"> Similarly, within the realm of regulatory theory, Cass</w:t>
      </w:r>
      <w:r>
        <w:rPr>
          <w:rFonts w:ascii="Times New Roman" w:hAnsi="Times New Roman" w:cs="Times New Roman"/>
          <w:sz w:val="24"/>
          <w:szCs w:val="24"/>
        </w:rPr>
        <w:t xml:space="preserve"> Sunstein</w:t>
      </w:r>
      <w:r w:rsidRPr="00D3581C">
        <w:rPr>
          <w:rFonts w:ascii="Times New Roman" w:hAnsi="Times New Roman" w:cs="Times New Roman"/>
          <w:sz w:val="24"/>
          <w:szCs w:val="24"/>
        </w:rPr>
        <w:t xml:space="preserve"> </w:t>
      </w:r>
      <w:r>
        <w:rPr>
          <w:rFonts w:ascii="Times New Roman" w:hAnsi="Times New Roman" w:cs="Times New Roman"/>
          <w:sz w:val="24"/>
          <w:szCs w:val="24"/>
        </w:rPr>
        <w:t>asserts that</w:t>
      </w:r>
      <w:r w:rsidRPr="00D3581C">
        <w:rPr>
          <w:rFonts w:ascii="Times New Roman" w:hAnsi="Times New Roman" w:cs="Times New Roman"/>
          <w:sz w:val="24"/>
          <w:szCs w:val="24"/>
        </w:rPr>
        <w:t xml:space="preserve"> </w:t>
      </w:r>
      <w:r>
        <w:rPr>
          <w:rFonts w:ascii="Times New Roman" w:hAnsi="Times New Roman" w:cs="Times New Roman"/>
          <w:sz w:val="24"/>
          <w:szCs w:val="24"/>
        </w:rPr>
        <w:t>“policies and regulations should</w:t>
      </w:r>
      <w:r w:rsidRPr="00D3581C">
        <w:rPr>
          <w:rFonts w:ascii="Times New Roman" w:hAnsi="Times New Roman" w:cs="Times New Roman"/>
          <w:sz w:val="24"/>
          <w:szCs w:val="24"/>
        </w:rPr>
        <w:t xml:space="preserve"> benefit from the dispersed information of a wide variety of human beings.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34"/>
      </w:r>
      <w:r w:rsidRPr="00D3581C">
        <w:rPr>
          <w:rFonts w:ascii="Times New Roman" w:hAnsi="Times New Roman" w:cs="Times New Roman"/>
          <w:sz w:val="24"/>
          <w:szCs w:val="24"/>
        </w:rPr>
        <w:t xml:space="preserve"> The only way </w:t>
      </w:r>
      <w:r>
        <w:rPr>
          <w:rFonts w:ascii="Times New Roman" w:hAnsi="Times New Roman" w:cs="Times New Roman"/>
          <w:sz w:val="24"/>
          <w:szCs w:val="24"/>
        </w:rPr>
        <w:t>these two idea</w:t>
      </w:r>
      <w:r w:rsidR="004A0A2D">
        <w:rPr>
          <w:rFonts w:ascii="Times New Roman" w:hAnsi="Times New Roman" w:cs="Times New Roman"/>
          <w:sz w:val="24"/>
          <w:szCs w:val="24"/>
        </w:rPr>
        <w:t>l</w:t>
      </w:r>
      <w:r>
        <w:rPr>
          <w:rFonts w:ascii="Times New Roman" w:hAnsi="Times New Roman" w:cs="Times New Roman"/>
          <w:sz w:val="24"/>
          <w:szCs w:val="24"/>
        </w:rPr>
        <w:t xml:space="preserve">s </w:t>
      </w:r>
      <w:r w:rsidRPr="00D3581C">
        <w:rPr>
          <w:rFonts w:ascii="Times New Roman" w:hAnsi="Times New Roman" w:cs="Times New Roman"/>
          <w:sz w:val="24"/>
          <w:szCs w:val="24"/>
        </w:rPr>
        <w:t xml:space="preserve">can be achieved is to recognize difference and learn from it. Doing so will create a better understanding of disabled individuals’ needs and how the accessibility standards might best be able to meet those needs. </w:t>
      </w:r>
      <w:r>
        <w:rPr>
          <w:rFonts w:ascii="Times New Roman" w:hAnsi="Times New Roman" w:cs="Times New Roman"/>
          <w:sz w:val="24"/>
          <w:szCs w:val="24"/>
        </w:rPr>
        <w:t>Most important, however, is to recognize that the experiences of any individual with a disability, like those of individuals generally, will be integrally bound up with experiences connected to their gender, race, sexual orientation, etc.</w:t>
      </w:r>
      <w:r w:rsidR="008E07F8">
        <w:rPr>
          <w:rStyle w:val="FootnoteReference"/>
          <w:rFonts w:ascii="Times New Roman" w:hAnsi="Times New Roman" w:cs="Times New Roman"/>
          <w:sz w:val="24"/>
          <w:szCs w:val="24"/>
        </w:rPr>
        <w:footnoteReference w:id="35"/>
      </w:r>
      <w:r w:rsidR="008E07F8" w:rsidRPr="008E07F8">
        <w:rPr>
          <w:rFonts w:ascii="Times New Roman" w:hAnsi="Times New Roman" w:cs="Times New Roman"/>
          <w:sz w:val="24"/>
          <w:szCs w:val="24"/>
        </w:rPr>
        <w:t xml:space="preserve"> </w:t>
      </w:r>
      <w:r>
        <w:rPr>
          <w:rFonts w:ascii="Times New Roman" w:hAnsi="Times New Roman" w:cs="Times New Roman"/>
          <w:sz w:val="24"/>
          <w:szCs w:val="24"/>
        </w:rPr>
        <w:t>Accessibility legislation is an excellent place to acknowledge this intersectionality as it opens the door to a more authentic,</w:t>
      </w:r>
      <w:r w:rsidRPr="005A3B65">
        <w:rPr>
          <w:rFonts w:ascii="Times New Roman" w:hAnsi="Times New Roman" w:cs="Times New Roman"/>
          <w:sz w:val="24"/>
          <w:szCs w:val="24"/>
        </w:rPr>
        <w:t xml:space="preserve"> </w:t>
      </w:r>
      <w:r>
        <w:rPr>
          <w:rFonts w:ascii="Times New Roman" w:hAnsi="Times New Roman" w:cs="Times New Roman"/>
          <w:sz w:val="24"/>
          <w:szCs w:val="24"/>
        </w:rPr>
        <w:t>rich and complex recognition of the discriminatory barriers that persons with disabilities face on an everyday basis. Yet,</w:t>
      </w:r>
      <w:r w:rsidR="005F61B7">
        <w:rPr>
          <w:rFonts w:ascii="Times New Roman" w:hAnsi="Times New Roman" w:cs="Times New Roman"/>
          <w:sz w:val="24"/>
          <w:szCs w:val="24"/>
        </w:rPr>
        <w:t xml:space="preserve"> </w:t>
      </w:r>
      <w:r>
        <w:rPr>
          <w:rFonts w:ascii="Times New Roman" w:hAnsi="Times New Roman" w:cs="Times New Roman"/>
          <w:sz w:val="24"/>
          <w:szCs w:val="24"/>
        </w:rPr>
        <w:t>t</w:t>
      </w:r>
      <w:r w:rsidRPr="00D3581C">
        <w:rPr>
          <w:rFonts w:ascii="Times New Roman" w:hAnsi="Times New Roman" w:cs="Times New Roman"/>
          <w:sz w:val="24"/>
          <w:szCs w:val="24"/>
        </w:rPr>
        <w:t>he</w:t>
      </w:r>
      <w:r>
        <w:rPr>
          <w:rFonts w:ascii="Times New Roman" w:hAnsi="Times New Roman" w:cs="Times New Roman"/>
          <w:sz w:val="24"/>
          <w:szCs w:val="24"/>
        </w:rPr>
        <w:t xml:space="preserve"> AMA scarcely</w:t>
      </w:r>
      <w:r w:rsidRPr="00D3581C">
        <w:rPr>
          <w:rFonts w:ascii="Times New Roman" w:hAnsi="Times New Roman" w:cs="Times New Roman"/>
          <w:sz w:val="24"/>
          <w:szCs w:val="24"/>
        </w:rPr>
        <w:t xml:space="preserve"> acknowledges the existence of discrimination based on </w:t>
      </w:r>
      <w:r>
        <w:rPr>
          <w:rFonts w:ascii="Times New Roman" w:hAnsi="Times New Roman" w:cs="Times New Roman"/>
          <w:sz w:val="24"/>
          <w:szCs w:val="24"/>
        </w:rPr>
        <w:t xml:space="preserve">intersectional </w:t>
      </w:r>
      <w:r w:rsidRPr="00D3581C">
        <w:rPr>
          <w:rFonts w:ascii="Times New Roman" w:hAnsi="Times New Roman" w:cs="Times New Roman"/>
          <w:sz w:val="24"/>
          <w:szCs w:val="24"/>
        </w:rPr>
        <w:t xml:space="preserve">difference and therefore offers little description as to how the accessibility standards may be able to counteract this discrimination. </w:t>
      </w:r>
      <w:r>
        <w:rPr>
          <w:rFonts w:ascii="Times New Roman" w:hAnsi="Times New Roman" w:cs="Times New Roman"/>
          <w:sz w:val="24"/>
          <w:szCs w:val="24"/>
        </w:rPr>
        <w:t xml:space="preserve">Drafters of accessibility legislation in the future should consider incorporating references to the importance of intersectional discrimination into the primary legislation itself. One place where this can be done is in the preamble where connections </w:t>
      </w:r>
      <w:r>
        <w:rPr>
          <w:rFonts w:ascii="Times New Roman" w:hAnsi="Times New Roman" w:cs="Times New Roman"/>
          <w:sz w:val="24"/>
          <w:szCs w:val="24"/>
        </w:rPr>
        <w:lastRenderedPageBreak/>
        <w:t>between women with disabilities and poverty, and disability, race and poverty (to name</w:t>
      </w:r>
      <w:r w:rsidRPr="001D45C6">
        <w:rPr>
          <w:rFonts w:ascii="Times New Roman" w:hAnsi="Times New Roman" w:cs="Times New Roman"/>
          <w:sz w:val="24"/>
          <w:szCs w:val="24"/>
        </w:rPr>
        <w:t xml:space="preserve"> </w:t>
      </w:r>
      <w:r>
        <w:rPr>
          <w:rFonts w:ascii="Times New Roman" w:hAnsi="Times New Roman" w:cs="Times New Roman"/>
          <w:sz w:val="24"/>
          <w:szCs w:val="24"/>
        </w:rPr>
        <w:t xml:space="preserve">just two examples) could be recognized. </w:t>
      </w:r>
    </w:p>
    <w:p w:rsidR="00BD052D" w:rsidRPr="00D3581C" w:rsidRDefault="00BD052D">
      <w:pPr>
        <w:jc w:val="both"/>
        <w:rPr>
          <w:rFonts w:ascii="Times New Roman" w:hAnsi="Times New Roman" w:cs="Times New Roman"/>
          <w:sz w:val="24"/>
          <w:szCs w:val="24"/>
        </w:rPr>
      </w:pPr>
      <w:r>
        <w:rPr>
          <w:rFonts w:ascii="Times New Roman" w:hAnsi="Times New Roman" w:cs="Times New Roman"/>
          <w:sz w:val="24"/>
          <w:szCs w:val="24"/>
        </w:rPr>
        <w:t>In conclusion, the AMA possesses positive and feasible philosophical and social goals that have the potential to push forward the norms of equality law. It relies on the social model of disability. However, the statute’s drafting presents the two most common challenges with the social model of disability:  insufficient recognition of the role of impairment in the lives of persons with disabilities, and a weak portrayal of the connection between disability discrimination and intersectional difference. In the next section, we illustrate briefly how even through the development and enforcement phases of the AMA, it will still be difficult for disability advocates to circumvent the weaknesses presented by the drafting of the Act to pursue accessibility standards that address these two challenges.</w:t>
      </w:r>
    </w:p>
    <w:p w:rsidR="00BD052D" w:rsidRPr="001F23C2" w:rsidRDefault="00BD052D" w:rsidP="00884048">
      <w:pPr>
        <w:pStyle w:val="Heading2"/>
        <w:numPr>
          <w:ilvl w:val="0"/>
          <w:numId w:val="1"/>
        </w:numPr>
        <w:jc w:val="both"/>
      </w:pPr>
      <w:r w:rsidRPr="001F23C2">
        <w:t>The AMA’s Accessibility Standards</w:t>
      </w:r>
      <w:r w:rsidR="00C2228D">
        <w:t xml:space="preserve"> –</w:t>
      </w:r>
      <w:r w:rsidRPr="001F23C2">
        <w:t xml:space="preserve"> Development</w:t>
      </w:r>
      <w:r w:rsidRPr="004057F0">
        <w:t xml:space="preserve"> </w:t>
      </w:r>
      <w:r w:rsidRPr="009D5AEC">
        <w:t>and</w:t>
      </w:r>
      <w:r>
        <w:t xml:space="preserve"> </w:t>
      </w:r>
      <w:r w:rsidRPr="001F23C2">
        <w:t xml:space="preserve">Enforcement </w:t>
      </w:r>
    </w:p>
    <w:p w:rsidR="00BD052D" w:rsidRPr="001F23C2" w:rsidRDefault="00BD052D">
      <w:pPr>
        <w:jc w:val="both"/>
        <w:rPr>
          <w:rFonts w:ascii="Times New Roman" w:hAnsi="Times New Roman" w:cs="Times New Roman"/>
          <w:sz w:val="24"/>
          <w:szCs w:val="24"/>
        </w:rPr>
      </w:pPr>
      <w:r w:rsidRPr="001F23C2">
        <w:rPr>
          <w:rFonts w:ascii="Times New Roman" w:hAnsi="Times New Roman" w:cs="Times New Roman"/>
          <w:sz w:val="24"/>
          <w:szCs w:val="24"/>
        </w:rPr>
        <w:t>In this final part of the article, we provide a</w:t>
      </w:r>
      <w:r>
        <w:rPr>
          <w:rFonts w:ascii="Times New Roman" w:hAnsi="Times New Roman" w:cs="Times New Roman"/>
          <w:sz w:val="24"/>
          <w:szCs w:val="24"/>
        </w:rPr>
        <w:t xml:space="preserve"> brief survey </w:t>
      </w:r>
      <w:r w:rsidRPr="001F23C2">
        <w:rPr>
          <w:rFonts w:ascii="Times New Roman" w:hAnsi="Times New Roman" w:cs="Times New Roman"/>
          <w:sz w:val="24"/>
          <w:szCs w:val="24"/>
        </w:rPr>
        <w:t>of the</w:t>
      </w:r>
      <w:r w:rsidRPr="00F92B7A">
        <w:rPr>
          <w:rFonts w:ascii="Times New Roman" w:hAnsi="Times New Roman" w:cs="Times New Roman"/>
          <w:sz w:val="24"/>
          <w:szCs w:val="24"/>
        </w:rPr>
        <w:t xml:space="preserve"> standard</w:t>
      </w:r>
      <w:r w:rsidRPr="001F23C2">
        <w:rPr>
          <w:rFonts w:ascii="Times New Roman" w:hAnsi="Times New Roman" w:cs="Times New Roman"/>
          <w:sz w:val="24"/>
          <w:szCs w:val="24"/>
        </w:rPr>
        <w:t xml:space="preserve"> development and enforcement</w:t>
      </w:r>
      <w:r>
        <w:rPr>
          <w:rFonts w:ascii="Times New Roman" w:hAnsi="Times New Roman" w:cs="Times New Roman"/>
          <w:sz w:val="24"/>
          <w:szCs w:val="24"/>
        </w:rPr>
        <w:t xml:space="preserve"> mechanisms of the AMA. We use this overview to illustrate that the inattention to impairment and intersectional disability discrimination described earlier are also not addressed in the legislation when it comes to </w:t>
      </w:r>
      <w:r w:rsidR="004A0A2D">
        <w:rPr>
          <w:rFonts w:ascii="Times New Roman" w:hAnsi="Times New Roman" w:cs="Times New Roman"/>
          <w:sz w:val="24"/>
          <w:szCs w:val="24"/>
        </w:rPr>
        <w:t xml:space="preserve">standard </w:t>
      </w:r>
      <w:r>
        <w:rPr>
          <w:rFonts w:ascii="Times New Roman" w:hAnsi="Times New Roman" w:cs="Times New Roman"/>
          <w:sz w:val="24"/>
          <w:szCs w:val="24"/>
        </w:rPr>
        <w:t xml:space="preserve">development and enforcement. Indeed, the extent to which issues of impairment and intersectional discrimination will be addressed on the ground will depend on large part on who is appointed to the Accessibility Advisory Council </w:t>
      </w:r>
      <w:r w:rsidR="00AD3C1A">
        <w:rPr>
          <w:rFonts w:ascii="Times New Roman" w:hAnsi="Times New Roman" w:cs="Times New Roman"/>
          <w:sz w:val="24"/>
          <w:szCs w:val="24"/>
        </w:rPr>
        <w:t xml:space="preserve">(AAC) </w:t>
      </w:r>
      <w:r>
        <w:rPr>
          <w:rFonts w:ascii="Times New Roman" w:hAnsi="Times New Roman" w:cs="Times New Roman"/>
          <w:sz w:val="24"/>
          <w:szCs w:val="24"/>
        </w:rPr>
        <w:t>or the Standard Development Committees. In a similar fashion, the enforcement of the standards relies heavily on governmental discretion. It is only when government officials entrusted with that discretion are most invested in ensuring compliance with the standards that one can be sure of rigorous enforcement of the statute. Examples from Ontario demonstrate that accessibility legislation enforcement can be extremely malleable – with an expansion and contraction of protection for people with disabilities that depends on the priorities of the government of the day.</w:t>
      </w:r>
    </w:p>
    <w:p w:rsidR="00BD052D" w:rsidRPr="000F5AF6" w:rsidRDefault="00BD052D" w:rsidP="00884048">
      <w:pPr>
        <w:pStyle w:val="Heading3"/>
        <w:numPr>
          <w:ilvl w:val="0"/>
          <w:numId w:val="6"/>
        </w:numPr>
        <w:jc w:val="both"/>
        <w:rPr>
          <w:lang w:eastAsia="en-CA"/>
        </w:rPr>
      </w:pPr>
      <w:r>
        <w:rPr>
          <w:lang w:eastAsia="en-CA"/>
        </w:rPr>
        <w:t xml:space="preserve">Standard Development </w:t>
      </w:r>
      <w:r w:rsidRPr="000F5AF6">
        <w:rPr>
          <w:lang w:eastAsia="en-CA"/>
        </w:rPr>
        <w:t>Process</w:t>
      </w:r>
      <w:r>
        <w:rPr>
          <w:lang w:eastAsia="en-CA"/>
        </w:rPr>
        <w:t xml:space="preserve"> – C</w:t>
      </w:r>
      <w:r w:rsidRPr="000F5AF6">
        <w:rPr>
          <w:lang w:eastAsia="en-CA"/>
        </w:rPr>
        <w:t xml:space="preserve">ommittees and </w:t>
      </w:r>
      <w:r>
        <w:rPr>
          <w:lang w:eastAsia="en-CA"/>
        </w:rPr>
        <w:t>C</w:t>
      </w:r>
      <w:r w:rsidRPr="000F5AF6">
        <w:rPr>
          <w:lang w:eastAsia="en-CA"/>
        </w:rPr>
        <w:t>onsultations</w:t>
      </w:r>
    </w:p>
    <w:p w:rsidR="00467441" w:rsidRDefault="00467441" w:rsidP="00884048">
      <w:pPr>
        <w:pStyle w:val="Heading4"/>
        <w:numPr>
          <w:ilvl w:val="0"/>
          <w:numId w:val="8"/>
        </w:numPr>
        <w:jc w:val="both"/>
      </w:pPr>
      <w:r>
        <w:t>Committees</w:t>
      </w:r>
    </w:p>
    <w:p w:rsidR="00BD052D" w:rsidRDefault="00BD052D">
      <w:pPr>
        <w:jc w:val="both"/>
        <w:rPr>
          <w:rFonts w:ascii="Times New Roman" w:hAnsi="Times New Roman" w:cs="Times New Roman"/>
          <w:sz w:val="24"/>
          <w:szCs w:val="24"/>
        </w:rPr>
      </w:pPr>
      <w:r>
        <w:rPr>
          <w:rFonts w:ascii="Times New Roman" w:hAnsi="Times New Roman" w:cs="Times New Roman"/>
          <w:sz w:val="24"/>
          <w:szCs w:val="24"/>
        </w:rPr>
        <w:t>We earlier asserted that disability advocates can push for better recognition of impairment on the ground during the standard development process. However, in order to be successful in this endeavour, it will be necessary to have a standard development committee that is amenable to creating standards that support the position.</w:t>
      </w:r>
    </w:p>
    <w:p w:rsidR="00BD052D" w:rsidRPr="001F23C2" w:rsidRDefault="00BD052D">
      <w:pPr>
        <w:spacing w:after="0"/>
        <w:jc w:val="both"/>
        <w:rPr>
          <w:rFonts w:ascii="Times New Roman" w:hAnsi="Times New Roman" w:cs="Times New Roman"/>
          <w:sz w:val="24"/>
          <w:szCs w:val="24"/>
        </w:rPr>
      </w:pPr>
      <w:r w:rsidRPr="00D3581C">
        <w:rPr>
          <w:rFonts w:ascii="Times New Roman" w:hAnsi="Times New Roman" w:cs="Times New Roman"/>
          <w:sz w:val="24"/>
          <w:szCs w:val="24"/>
        </w:rPr>
        <w:t>Accessibility standards are established by regulation.</w:t>
      </w:r>
      <w:r>
        <w:rPr>
          <w:rStyle w:val="FootnoteReference"/>
          <w:rFonts w:ascii="Times New Roman" w:hAnsi="Times New Roman" w:cs="Times New Roman"/>
          <w:sz w:val="24"/>
          <w:szCs w:val="24"/>
        </w:rPr>
        <w:footnoteReference w:id="36"/>
      </w:r>
      <w:r w:rsidRPr="00D3581C">
        <w:rPr>
          <w:rFonts w:ascii="Times New Roman" w:hAnsi="Times New Roman" w:cs="Times New Roman"/>
          <w:sz w:val="24"/>
          <w:szCs w:val="24"/>
        </w:rPr>
        <w:t xml:space="preserve"> </w:t>
      </w:r>
      <w:r>
        <w:rPr>
          <w:rFonts w:ascii="Times New Roman" w:hAnsi="Times New Roman" w:cs="Times New Roman"/>
          <w:sz w:val="24"/>
          <w:szCs w:val="24"/>
          <w:lang w:eastAsia="en-CA"/>
        </w:rPr>
        <w:t xml:space="preserve">Under Canadian accessibility legislation, the standard development process usually centres on exchanges of views within the standard </w:t>
      </w:r>
      <w:r>
        <w:rPr>
          <w:rFonts w:ascii="Times New Roman" w:hAnsi="Times New Roman" w:cs="Times New Roman"/>
          <w:sz w:val="24"/>
          <w:szCs w:val="24"/>
          <w:lang w:eastAsia="en-CA"/>
        </w:rPr>
        <w:lastRenderedPageBreak/>
        <w:t>development committees in which the members are representative of the various stakeholders who will be affected by the ultimate standard.</w:t>
      </w:r>
      <w:r>
        <w:rPr>
          <w:rStyle w:val="FootnoteReference"/>
          <w:rFonts w:ascii="Times New Roman" w:hAnsi="Times New Roman" w:cs="Times New Roman"/>
          <w:sz w:val="24"/>
          <w:szCs w:val="24"/>
          <w:lang w:eastAsia="en-CA"/>
        </w:rPr>
        <w:footnoteReference w:id="37"/>
      </w:r>
      <w:r>
        <w:rPr>
          <w:rFonts w:ascii="Times New Roman" w:hAnsi="Times New Roman" w:cs="Times New Roman"/>
          <w:sz w:val="24"/>
          <w:szCs w:val="24"/>
          <w:lang w:eastAsia="en-CA"/>
        </w:rPr>
        <w:t xml:space="preserve"> The process of developing accessibility regulations in this way represents a form of democratic participation. Fairness is said to exist because different stakeholders are invited to deliberate through to a final resolution. Accessibility legislation in Canada that uses this type of consultative process has been described a</w:t>
      </w:r>
      <w:r w:rsidRPr="001E5DF5">
        <w:rPr>
          <w:rFonts w:ascii="Times New Roman" w:hAnsi="Times New Roman" w:cs="Times New Roman"/>
          <w:sz w:val="24"/>
          <w:szCs w:val="24"/>
          <w:lang w:eastAsia="en-CA"/>
        </w:rPr>
        <w:t>s “</w:t>
      </w:r>
      <w:r w:rsidRPr="001F23C2">
        <w:rPr>
          <w:rFonts w:ascii="Times New Roman" w:hAnsi="Times New Roman" w:cs="Times New Roman"/>
          <w:sz w:val="24"/>
          <w:szCs w:val="24"/>
        </w:rPr>
        <w:t>bringing together opposing views in a deliberative democratic battleground with the reality of regulations built on consensus or compromise</w:t>
      </w:r>
      <w:r w:rsidR="007E5712">
        <w:rPr>
          <w:rFonts w:ascii="Times New Roman" w:hAnsi="Times New Roman" w:cs="Times New Roman"/>
          <w:sz w:val="24"/>
          <w:szCs w:val="24"/>
        </w:rPr>
        <w:t>.</w:t>
      </w:r>
      <w:r w:rsidRPr="001F23C2">
        <w:rPr>
          <w:rFonts w:ascii="Times New Roman" w:hAnsi="Times New Roman" w:cs="Times New Roman"/>
          <w:sz w:val="24"/>
          <w:szCs w:val="24"/>
        </w:rPr>
        <w:t>”</w:t>
      </w:r>
      <w:r w:rsidRPr="001F23C2">
        <w:rPr>
          <w:rStyle w:val="FootnoteReference"/>
          <w:rFonts w:ascii="Times New Roman" w:hAnsi="Times New Roman" w:cs="Times New Roman"/>
          <w:sz w:val="24"/>
          <w:szCs w:val="24"/>
        </w:rPr>
        <w:footnoteReference w:id="38"/>
      </w:r>
      <w:r w:rsidRPr="001F23C2">
        <w:rPr>
          <w:rFonts w:ascii="Times New Roman" w:hAnsi="Times New Roman" w:cs="Times New Roman"/>
          <w:sz w:val="24"/>
          <w:szCs w:val="24"/>
        </w:rPr>
        <w:t xml:space="preserve"> In both Ontario and Manitoba, the concept of consensus that has been used in practice has </w:t>
      </w:r>
      <w:r w:rsidR="003935F3">
        <w:rPr>
          <w:rFonts w:ascii="Times New Roman" w:hAnsi="Times New Roman" w:cs="Times New Roman"/>
          <w:sz w:val="24"/>
          <w:szCs w:val="24"/>
        </w:rPr>
        <w:t>be</w:t>
      </w:r>
      <w:r w:rsidR="00474302">
        <w:rPr>
          <w:rFonts w:ascii="Times New Roman" w:hAnsi="Times New Roman" w:cs="Times New Roman"/>
          <w:sz w:val="24"/>
          <w:szCs w:val="24"/>
        </w:rPr>
        <w:t>e</w:t>
      </w:r>
      <w:r w:rsidR="003935F3">
        <w:rPr>
          <w:rFonts w:ascii="Times New Roman" w:hAnsi="Times New Roman" w:cs="Times New Roman"/>
          <w:sz w:val="24"/>
          <w:szCs w:val="24"/>
        </w:rPr>
        <w:t>n based on</w:t>
      </w:r>
      <w:r w:rsidR="003935F3" w:rsidRPr="001F23C2">
        <w:rPr>
          <w:rFonts w:ascii="Times New Roman" w:hAnsi="Times New Roman" w:cs="Times New Roman"/>
          <w:sz w:val="24"/>
          <w:szCs w:val="24"/>
        </w:rPr>
        <w:t xml:space="preserve"> </w:t>
      </w:r>
      <w:r w:rsidRPr="001F23C2">
        <w:rPr>
          <w:rFonts w:ascii="Times New Roman" w:hAnsi="Times New Roman" w:cs="Times New Roman"/>
          <w:sz w:val="24"/>
          <w:szCs w:val="24"/>
        </w:rPr>
        <w:t>less than full unanimity. In Ontario, consensus was defined as “substantial agreement of members, without persistent opposition, by a process taking into account the views of all members in the resolution of disputes</w:t>
      </w:r>
      <w:r w:rsidR="007E5712">
        <w:rPr>
          <w:rFonts w:ascii="Times New Roman" w:hAnsi="Times New Roman" w:cs="Times New Roman"/>
          <w:sz w:val="24"/>
          <w:szCs w:val="24"/>
        </w:rPr>
        <w:t>.</w:t>
      </w:r>
      <w:r w:rsidRPr="001F23C2">
        <w:rPr>
          <w:rFonts w:ascii="Times New Roman" w:hAnsi="Times New Roman" w:cs="Times New Roman"/>
          <w:sz w:val="24"/>
          <w:szCs w:val="24"/>
        </w:rPr>
        <w:t>”</w:t>
      </w:r>
      <w:r w:rsidRPr="001F23C2">
        <w:rPr>
          <w:rStyle w:val="FootnoteReference"/>
          <w:rFonts w:ascii="Times New Roman" w:hAnsi="Times New Roman" w:cs="Times New Roman"/>
          <w:sz w:val="24"/>
          <w:szCs w:val="24"/>
        </w:rPr>
        <w:footnoteReference w:id="39"/>
      </w:r>
      <w:r w:rsidRPr="001F23C2">
        <w:rPr>
          <w:rFonts w:ascii="Times New Roman" w:hAnsi="Times New Roman" w:cs="Times New Roman"/>
          <w:sz w:val="24"/>
          <w:szCs w:val="24"/>
        </w:rPr>
        <w:t xml:space="preserve"> In Manitoba, perhaps wisely, given the challenges of aiming for consensus, the legislation allows for members of the AAC to submit</w:t>
      </w:r>
      <w:r>
        <w:rPr>
          <w:rFonts w:ascii="Times New Roman" w:hAnsi="Times New Roman" w:cs="Times New Roman"/>
          <w:sz w:val="24"/>
          <w:szCs w:val="24"/>
        </w:rPr>
        <w:t xml:space="preserve"> separate recommendations on accessibility standards if a consensus cannot be achieved.</w:t>
      </w:r>
      <w:r>
        <w:rPr>
          <w:rStyle w:val="FootnoteReference"/>
          <w:rFonts w:ascii="Times New Roman" w:hAnsi="Times New Roman" w:cs="Times New Roman"/>
          <w:sz w:val="24"/>
          <w:szCs w:val="24"/>
        </w:rPr>
        <w:footnoteReference w:id="40"/>
      </w:r>
      <w:r>
        <w:rPr>
          <w:rFonts w:ascii="Times New Roman" w:hAnsi="Times New Roman" w:cs="Times New Roman"/>
          <w:sz w:val="24"/>
          <w:szCs w:val="24"/>
        </w:rPr>
        <w:t xml:space="preserve"> </w:t>
      </w:r>
    </w:p>
    <w:p w:rsidR="00BD052D" w:rsidRPr="001F23C2" w:rsidRDefault="00BD052D" w:rsidP="00884048">
      <w:pPr>
        <w:spacing w:after="0" w:line="240" w:lineRule="auto"/>
        <w:jc w:val="both"/>
        <w:rPr>
          <w:rFonts w:ascii="Times New Roman" w:hAnsi="Times New Roman" w:cs="Times New Roman"/>
          <w:sz w:val="24"/>
          <w:szCs w:val="24"/>
          <w:lang w:eastAsia="en-CA"/>
        </w:rPr>
      </w:pPr>
    </w:p>
    <w:p w:rsidR="00BD052D" w:rsidRPr="001F23C2" w:rsidRDefault="00BD052D">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 xml:space="preserve">Certainly, the advantage of using a stakeholder consultative committee is that persons with disabilities have an opportunity to participate. </w:t>
      </w:r>
      <w:r w:rsidR="002066F5">
        <w:rPr>
          <w:rFonts w:ascii="Times New Roman" w:hAnsi="Times New Roman" w:cs="Times New Roman"/>
          <w:sz w:val="24"/>
          <w:szCs w:val="24"/>
          <w:lang w:eastAsia="en-CA"/>
        </w:rPr>
        <w:t>Stakeholder consultative committees are theoretically well-placed to achieve the more collective philosophical and social goals underlying the statute</w:t>
      </w:r>
      <w:r w:rsidR="00DF4060">
        <w:rPr>
          <w:rFonts w:ascii="Times New Roman" w:hAnsi="Times New Roman" w:cs="Times New Roman"/>
          <w:sz w:val="24"/>
          <w:szCs w:val="24"/>
          <w:lang w:eastAsia="en-CA"/>
        </w:rPr>
        <w:t>,</w:t>
      </w:r>
      <w:r w:rsidR="002066F5">
        <w:rPr>
          <w:rFonts w:ascii="Times New Roman" w:hAnsi="Times New Roman" w:cs="Times New Roman"/>
          <w:sz w:val="24"/>
          <w:szCs w:val="24"/>
          <w:lang w:eastAsia="en-CA"/>
        </w:rPr>
        <w:t xml:space="preserve"> such </w:t>
      </w:r>
      <w:r w:rsidR="00DF4060">
        <w:rPr>
          <w:rFonts w:ascii="Times New Roman" w:hAnsi="Times New Roman" w:cs="Times New Roman"/>
          <w:sz w:val="24"/>
          <w:szCs w:val="24"/>
          <w:lang w:eastAsia="en-CA"/>
        </w:rPr>
        <w:t xml:space="preserve">as </w:t>
      </w:r>
      <w:r w:rsidR="002066F5">
        <w:rPr>
          <w:rFonts w:ascii="Times New Roman" w:hAnsi="Times New Roman" w:cs="Times New Roman"/>
          <w:sz w:val="24"/>
          <w:szCs w:val="24"/>
          <w:lang w:eastAsia="en-CA"/>
        </w:rPr>
        <w:t xml:space="preserve">promoting a definition and understanding of disability as an experience that can affect everyone. </w:t>
      </w:r>
      <w:r>
        <w:rPr>
          <w:rFonts w:ascii="Times New Roman" w:hAnsi="Times New Roman" w:cs="Times New Roman"/>
          <w:sz w:val="24"/>
          <w:szCs w:val="24"/>
          <w:lang w:eastAsia="en-CA"/>
        </w:rPr>
        <w:t>However, s</w:t>
      </w:r>
      <w:r w:rsidRPr="001F23C2">
        <w:rPr>
          <w:rFonts w:ascii="Times New Roman" w:hAnsi="Times New Roman" w:cs="Times New Roman"/>
          <w:sz w:val="24"/>
          <w:szCs w:val="24"/>
          <w:lang w:eastAsia="en-CA"/>
        </w:rPr>
        <w:t xml:space="preserve">ubstantive outcomes may depend greatly on who is appointed to the standard development committee and on the dynamic of the group once it has been formed. Interestingly, there are no requirements in the AMA concerning the representative makeup of the standard development committees. This is unusual. It contrasts starkly with the requirements set out in the </w:t>
      </w:r>
      <w:r w:rsidR="003935F3">
        <w:rPr>
          <w:rFonts w:ascii="Times New Roman" w:hAnsi="Times New Roman" w:cs="Times New Roman"/>
          <w:sz w:val="24"/>
          <w:szCs w:val="24"/>
          <w:lang w:eastAsia="en-CA"/>
        </w:rPr>
        <w:t xml:space="preserve">same </w:t>
      </w:r>
      <w:r w:rsidRPr="001F23C2">
        <w:rPr>
          <w:rFonts w:ascii="Times New Roman" w:hAnsi="Times New Roman" w:cs="Times New Roman"/>
          <w:sz w:val="24"/>
          <w:szCs w:val="24"/>
          <w:lang w:eastAsia="en-CA"/>
        </w:rPr>
        <w:t>statute for the Accessibility Advisory Council, which is the parent body that appoints the standard development committees.</w:t>
      </w:r>
      <w:r w:rsidRPr="001F23C2">
        <w:rPr>
          <w:rStyle w:val="FootnoteReference"/>
          <w:rFonts w:ascii="Times New Roman" w:hAnsi="Times New Roman" w:cs="Times New Roman"/>
          <w:sz w:val="24"/>
          <w:szCs w:val="24"/>
          <w:lang w:eastAsia="en-CA"/>
        </w:rPr>
        <w:footnoteReference w:id="41"/>
      </w:r>
      <w:r w:rsidRPr="001F23C2">
        <w:rPr>
          <w:rFonts w:ascii="Times New Roman" w:hAnsi="Times New Roman" w:cs="Times New Roman"/>
          <w:sz w:val="24"/>
          <w:szCs w:val="24"/>
          <w:lang w:eastAsia="en-CA"/>
        </w:rPr>
        <w:t xml:space="preserve"> The AMA indicates that the AAC must include persons disabled by barriers or representatives from organizations of persons disabled by barriers as well as representatives of activities undertakings sectors etc. that may be subject to the accessibility standards.</w:t>
      </w:r>
      <w:r w:rsidRPr="001F23C2">
        <w:rPr>
          <w:rStyle w:val="FootnoteReference"/>
          <w:rFonts w:ascii="Times New Roman" w:hAnsi="Times New Roman" w:cs="Times New Roman"/>
          <w:sz w:val="24"/>
          <w:szCs w:val="24"/>
          <w:lang w:eastAsia="en-CA"/>
        </w:rPr>
        <w:footnoteReference w:id="42"/>
      </w:r>
      <w:r w:rsidRPr="001F23C2">
        <w:rPr>
          <w:rFonts w:ascii="Times New Roman" w:hAnsi="Times New Roman" w:cs="Times New Roman"/>
          <w:sz w:val="24"/>
          <w:szCs w:val="24"/>
          <w:lang w:eastAsia="en-CA"/>
        </w:rPr>
        <w:t xml:space="preserve"> The lack of direction about the makeup of the standard development committees is </w:t>
      </w:r>
      <w:r w:rsidRPr="006B16CC">
        <w:rPr>
          <w:rFonts w:ascii="Times New Roman" w:hAnsi="Times New Roman" w:cs="Times New Roman"/>
          <w:sz w:val="24"/>
          <w:szCs w:val="24"/>
          <w:lang w:eastAsia="en-CA"/>
        </w:rPr>
        <w:t xml:space="preserve">also </w:t>
      </w:r>
      <w:r w:rsidR="003935F3">
        <w:rPr>
          <w:rFonts w:ascii="Times New Roman" w:hAnsi="Times New Roman" w:cs="Times New Roman"/>
          <w:sz w:val="24"/>
          <w:szCs w:val="24"/>
          <w:lang w:eastAsia="en-CA"/>
        </w:rPr>
        <w:t>very</w:t>
      </w:r>
      <w:r w:rsidR="003935F3" w:rsidRPr="001F23C2">
        <w:rPr>
          <w:rFonts w:ascii="Times New Roman" w:hAnsi="Times New Roman" w:cs="Times New Roman"/>
          <w:sz w:val="24"/>
          <w:szCs w:val="24"/>
          <w:lang w:eastAsia="en-CA"/>
        </w:rPr>
        <w:t xml:space="preserve"> </w:t>
      </w:r>
      <w:r w:rsidRPr="001F23C2">
        <w:rPr>
          <w:rFonts w:ascii="Times New Roman" w:hAnsi="Times New Roman" w:cs="Times New Roman"/>
          <w:sz w:val="24"/>
          <w:szCs w:val="24"/>
          <w:lang w:eastAsia="en-CA"/>
        </w:rPr>
        <w:t xml:space="preserve">different than the legislation in Ontario which directs the minister to invite persons with disabilities or their representatives, representatives of industry and </w:t>
      </w:r>
      <w:r w:rsidRPr="001F23C2">
        <w:rPr>
          <w:rFonts w:ascii="Times New Roman" w:hAnsi="Times New Roman" w:cs="Times New Roman"/>
          <w:sz w:val="24"/>
          <w:szCs w:val="24"/>
          <w:lang w:eastAsia="en-CA"/>
        </w:rPr>
        <w:lastRenderedPageBreak/>
        <w:t>government to form part of each standard development committee.</w:t>
      </w:r>
      <w:r w:rsidRPr="001F23C2">
        <w:rPr>
          <w:rStyle w:val="FootnoteReference"/>
          <w:rFonts w:ascii="Times New Roman" w:hAnsi="Times New Roman" w:cs="Times New Roman"/>
          <w:sz w:val="24"/>
          <w:szCs w:val="24"/>
          <w:lang w:eastAsia="en-CA"/>
        </w:rPr>
        <w:footnoteReference w:id="43"/>
      </w:r>
      <w:r w:rsidRPr="001F23C2">
        <w:rPr>
          <w:rFonts w:ascii="Times New Roman" w:hAnsi="Times New Roman" w:cs="Times New Roman"/>
          <w:sz w:val="24"/>
          <w:szCs w:val="24"/>
          <w:lang w:eastAsia="en-CA"/>
        </w:rPr>
        <w:t xml:space="preserve"> This is not to say that the standard development committees will not be amenable to protecting issues relating to impairment or recognizing intersectionality in disability discrimination. But, given the structure of the statute, it is clear that much depends on the determinations by the AAC and the standard development committees as to what appropriate stakeholder representation and appropriate outcomes</w:t>
      </w:r>
      <w:r w:rsidR="003935F3" w:rsidRPr="003935F3">
        <w:rPr>
          <w:rFonts w:ascii="Times New Roman" w:hAnsi="Times New Roman" w:cs="Times New Roman"/>
          <w:sz w:val="24"/>
          <w:szCs w:val="24"/>
          <w:lang w:eastAsia="en-CA"/>
        </w:rPr>
        <w:t xml:space="preserve"> </w:t>
      </w:r>
      <w:r w:rsidR="003935F3" w:rsidRPr="001F23C2">
        <w:rPr>
          <w:rFonts w:ascii="Times New Roman" w:hAnsi="Times New Roman" w:cs="Times New Roman"/>
          <w:sz w:val="24"/>
          <w:szCs w:val="24"/>
          <w:lang w:eastAsia="en-CA"/>
        </w:rPr>
        <w:t>on those matters</w:t>
      </w:r>
      <w:r w:rsidRPr="001F23C2">
        <w:rPr>
          <w:rFonts w:ascii="Times New Roman" w:hAnsi="Times New Roman" w:cs="Times New Roman"/>
          <w:sz w:val="24"/>
          <w:szCs w:val="24"/>
          <w:lang w:eastAsia="en-CA"/>
        </w:rPr>
        <w:t xml:space="preserve"> should be.</w:t>
      </w:r>
    </w:p>
    <w:p w:rsidR="00BD052D" w:rsidRDefault="00BD052D" w:rsidP="00884048">
      <w:pPr>
        <w:spacing w:after="0" w:line="240" w:lineRule="auto"/>
        <w:jc w:val="both"/>
        <w:rPr>
          <w:rFonts w:ascii="Cambria" w:hAnsi="Cambria" w:cs="Times New Roman"/>
          <w:szCs w:val="24"/>
          <w:lang w:eastAsia="en-CA"/>
        </w:rPr>
      </w:pPr>
    </w:p>
    <w:p w:rsidR="00BD052D" w:rsidRDefault="00BD052D">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 xml:space="preserve">The process for developing accessibility standards begins when the minister (appointed by the </w:t>
      </w:r>
      <w:r w:rsidR="00522D06">
        <w:rPr>
          <w:rFonts w:ascii="Times New Roman" w:hAnsi="Times New Roman" w:cs="Times New Roman"/>
          <w:sz w:val="24"/>
          <w:szCs w:val="24"/>
          <w:lang w:eastAsia="en-CA"/>
        </w:rPr>
        <w:t xml:space="preserve">Cabinet </w:t>
      </w:r>
      <w:r>
        <w:rPr>
          <w:rFonts w:ascii="Times New Roman" w:hAnsi="Times New Roman" w:cs="Times New Roman"/>
          <w:sz w:val="24"/>
          <w:szCs w:val="24"/>
          <w:lang w:eastAsia="en-CA"/>
        </w:rPr>
        <w:t>to administer</w:t>
      </w:r>
      <w:r w:rsidR="003935F3">
        <w:rPr>
          <w:rFonts w:ascii="Times New Roman" w:hAnsi="Times New Roman" w:cs="Times New Roman"/>
          <w:sz w:val="24"/>
          <w:szCs w:val="24"/>
          <w:lang w:eastAsia="en-CA"/>
        </w:rPr>
        <w:t xml:space="preserve"> the</w:t>
      </w:r>
      <w:r>
        <w:rPr>
          <w:rFonts w:ascii="Times New Roman" w:hAnsi="Times New Roman" w:cs="Times New Roman"/>
          <w:sz w:val="24"/>
          <w:szCs w:val="24"/>
          <w:lang w:eastAsia="en-CA"/>
        </w:rPr>
        <w:t xml:space="preserve"> Act)</w:t>
      </w:r>
      <w:r>
        <w:rPr>
          <w:rStyle w:val="FootnoteReference"/>
          <w:rFonts w:ascii="Times New Roman" w:hAnsi="Times New Roman" w:cs="Times New Roman"/>
          <w:sz w:val="24"/>
          <w:szCs w:val="24"/>
          <w:lang w:eastAsia="en-CA"/>
        </w:rPr>
        <w:footnoteReference w:id="44"/>
      </w:r>
      <w:r>
        <w:rPr>
          <w:rFonts w:ascii="Times New Roman" w:hAnsi="Times New Roman" w:cs="Times New Roman"/>
          <w:sz w:val="24"/>
          <w:szCs w:val="24"/>
          <w:lang w:eastAsia="en-CA"/>
        </w:rPr>
        <w:t xml:space="preserve"> prepares the terms of reference for the proposed accessibility standard</w:t>
      </w:r>
      <w:r w:rsidR="00DF4060">
        <w:rPr>
          <w:rFonts w:ascii="Times New Roman" w:hAnsi="Times New Roman" w:cs="Times New Roman"/>
          <w:sz w:val="24"/>
          <w:szCs w:val="24"/>
          <w:lang w:eastAsia="en-CA"/>
        </w:rPr>
        <w:t>.</w:t>
      </w:r>
      <w:r>
        <w:rPr>
          <w:rStyle w:val="FootnoteReference"/>
          <w:rFonts w:ascii="Times New Roman" w:hAnsi="Times New Roman" w:cs="Times New Roman"/>
          <w:sz w:val="24"/>
          <w:szCs w:val="24"/>
          <w:lang w:eastAsia="en-CA"/>
        </w:rPr>
        <w:footnoteReference w:id="45"/>
      </w:r>
      <w:r w:rsidR="003935F3">
        <w:rPr>
          <w:rFonts w:ascii="Times New Roman" w:hAnsi="Times New Roman" w:cs="Times New Roman"/>
          <w:sz w:val="24"/>
          <w:szCs w:val="24"/>
          <w:lang w:eastAsia="en-CA"/>
        </w:rPr>
        <w:t xml:space="preserve"> The terms of reference</w:t>
      </w:r>
      <w:r>
        <w:rPr>
          <w:rFonts w:ascii="Times New Roman" w:hAnsi="Times New Roman" w:cs="Times New Roman"/>
          <w:sz w:val="24"/>
          <w:szCs w:val="24"/>
          <w:lang w:eastAsia="en-CA"/>
        </w:rPr>
        <w:t xml:space="preserve"> “must specify the sector or the persons or organizations that may be made subject to the standard.”</w:t>
      </w:r>
      <w:r>
        <w:rPr>
          <w:rStyle w:val="FootnoteReference"/>
          <w:rFonts w:ascii="Times New Roman" w:hAnsi="Times New Roman" w:cs="Times New Roman"/>
          <w:sz w:val="24"/>
          <w:szCs w:val="24"/>
          <w:lang w:eastAsia="en-CA"/>
        </w:rPr>
        <w:footnoteReference w:id="46"/>
      </w:r>
      <w:r>
        <w:rPr>
          <w:rFonts w:ascii="Times New Roman" w:hAnsi="Times New Roman" w:cs="Times New Roman"/>
          <w:sz w:val="24"/>
          <w:szCs w:val="24"/>
          <w:lang w:eastAsia="en-CA"/>
        </w:rPr>
        <w:t xml:space="preserve"> The terms of reference are to “enable the implementation of the measures, policies, practices and other requirements necessary to make significant progress towards achieving accessibility by 2023.”</w:t>
      </w:r>
      <w:r>
        <w:rPr>
          <w:rStyle w:val="FootnoteReference"/>
          <w:rFonts w:ascii="Times New Roman" w:hAnsi="Times New Roman" w:cs="Times New Roman"/>
          <w:sz w:val="24"/>
          <w:szCs w:val="24"/>
          <w:lang w:eastAsia="en-CA"/>
        </w:rPr>
        <w:footnoteReference w:id="47"/>
      </w:r>
      <w:r>
        <w:rPr>
          <w:rFonts w:ascii="Times New Roman" w:hAnsi="Times New Roman" w:cs="Times New Roman"/>
          <w:sz w:val="24"/>
          <w:szCs w:val="24"/>
          <w:lang w:eastAsia="en-CA"/>
        </w:rPr>
        <w:t xml:space="preserve"> Once prepared, the minister gives the terms of reference to the </w:t>
      </w:r>
      <w:r w:rsidR="00522D06">
        <w:rPr>
          <w:rFonts w:ascii="Times New Roman" w:hAnsi="Times New Roman" w:cs="Times New Roman"/>
          <w:sz w:val="24"/>
          <w:szCs w:val="24"/>
          <w:lang w:eastAsia="en-CA"/>
        </w:rPr>
        <w:t>AAC</w:t>
      </w:r>
      <w:r>
        <w:rPr>
          <w:rFonts w:ascii="Times New Roman" w:hAnsi="Times New Roman" w:cs="Times New Roman"/>
          <w:sz w:val="24"/>
          <w:szCs w:val="24"/>
          <w:lang w:eastAsia="en-CA"/>
        </w:rPr>
        <w:t xml:space="preserve"> while also making them available to the public (i.e. posting on a government website, etc.).</w:t>
      </w:r>
      <w:r>
        <w:rPr>
          <w:rStyle w:val="FootnoteReference"/>
          <w:rFonts w:ascii="Times New Roman" w:hAnsi="Times New Roman" w:cs="Times New Roman"/>
          <w:sz w:val="24"/>
          <w:szCs w:val="24"/>
          <w:lang w:eastAsia="en-CA"/>
        </w:rPr>
        <w:footnoteReference w:id="48"/>
      </w:r>
    </w:p>
    <w:p w:rsidR="00BD052D" w:rsidRDefault="00BD052D" w:rsidP="00884048">
      <w:pPr>
        <w:spacing w:after="0" w:line="240" w:lineRule="auto"/>
        <w:jc w:val="both"/>
        <w:rPr>
          <w:rFonts w:ascii="Times New Roman" w:hAnsi="Times New Roman" w:cs="Times New Roman"/>
          <w:sz w:val="24"/>
          <w:szCs w:val="24"/>
          <w:lang w:eastAsia="en-CA"/>
        </w:rPr>
      </w:pPr>
    </w:p>
    <w:p w:rsidR="00BD052D" w:rsidRDefault="00BD052D">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 xml:space="preserve">The </w:t>
      </w:r>
      <w:r w:rsidR="00522D06">
        <w:rPr>
          <w:rFonts w:ascii="Times New Roman" w:hAnsi="Times New Roman" w:cs="Times New Roman"/>
          <w:sz w:val="24"/>
          <w:szCs w:val="24"/>
          <w:lang w:eastAsia="en-CA"/>
        </w:rPr>
        <w:t>AAC</w:t>
      </w:r>
      <w:r>
        <w:rPr>
          <w:rFonts w:ascii="Times New Roman" w:hAnsi="Times New Roman" w:cs="Times New Roman"/>
          <w:sz w:val="24"/>
          <w:szCs w:val="24"/>
          <w:lang w:eastAsia="en-CA"/>
        </w:rPr>
        <w:t>, after receiving the terms of reference from the minister, makes recommendations regarding; (a) “the accessibility objectives for the activity or undertaking, the sector, the aspect of the built environment, or the person or organizations, to which the standard relates”, and (b) “the measures, policies, practices or other requirements that the council believes should be implemented” which include how, by whom, and when they should be implemented.</w:t>
      </w:r>
      <w:r>
        <w:rPr>
          <w:rStyle w:val="FootnoteReference"/>
          <w:rFonts w:ascii="Times New Roman" w:hAnsi="Times New Roman" w:cs="Times New Roman"/>
          <w:sz w:val="24"/>
          <w:szCs w:val="24"/>
          <w:lang w:eastAsia="en-CA"/>
        </w:rPr>
        <w:footnoteReference w:id="49"/>
      </w:r>
      <w:r>
        <w:rPr>
          <w:rFonts w:ascii="Times New Roman" w:hAnsi="Times New Roman" w:cs="Times New Roman"/>
          <w:sz w:val="24"/>
          <w:szCs w:val="24"/>
          <w:lang w:eastAsia="en-CA"/>
        </w:rPr>
        <w:t xml:space="preserve"> In recommending timeframes, the </w:t>
      </w:r>
      <w:r w:rsidR="00995D6E">
        <w:rPr>
          <w:rFonts w:ascii="Times New Roman" w:hAnsi="Times New Roman" w:cs="Times New Roman"/>
          <w:sz w:val="24"/>
          <w:szCs w:val="24"/>
          <w:lang w:eastAsia="en-CA"/>
        </w:rPr>
        <w:t>AAC</w:t>
      </w:r>
      <w:r>
        <w:rPr>
          <w:rFonts w:ascii="Times New Roman" w:hAnsi="Times New Roman" w:cs="Times New Roman"/>
          <w:sz w:val="24"/>
          <w:szCs w:val="24"/>
          <w:lang w:eastAsia="en-CA"/>
        </w:rPr>
        <w:t xml:space="preserve"> must consider the terms of reference, the nature of the barriers, and technical and economic considerations involved in implementation of standards.</w:t>
      </w:r>
      <w:r>
        <w:rPr>
          <w:rStyle w:val="FootnoteReference"/>
          <w:rFonts w:ascii="Times New Roman" w:hAnsi="Times New Roman" w:cs="Times New Roman"/>
          <w:sz w:val="24"/>
          <w:szCs w:val="24"/>
          <w:lang w:eastAsia="en-CA"/>
        </w:rPr>
        <w:footnoteReference w:id="50"/>
      </w:r>
    </w:p>
    <w:p w:rsidR="00BD052D" w:rsidRDefault="00BD052D">
      <w:pPr>
        <w:spacing w:after="0"/>
        <w:jc w:val="both"/>
        <w:rPr>
          <w:rFonts w:ascii="Times New Roman" w:hAnsi="Times New Roman" w:cs="Times New Roman"/>
          <w:sz w:val="24"/>
          <w:szCs w:val="24"/>
          <w:lang w:eastAsia="en-CA"/>
        </w:rPr>
      </w:pPr>
    </w:p>
    <w:p w:rsidR="00467441" w:rsidRPr="003935F3" w:rsidRDefault="00474302" w:rsidP="00884048">
      <w:pPr>
        <w:pStyle w:val="Heading4"/>
        <w:numPr>
          <w:ilvl w:val="0"/>
          <w:numId w:val="8"/>
        </w:numPr>
        <w:jc w:val="both"/>
        <w:rPr>
          <w:lang w:eastAsia="en-CA"/>
        </w:rPr>
      </w:pPr>
      <w:r>
        <w:rPr>
          <w:lang w:eastAsia="en-CA"/>
        </w:rPr>
        <w:t xml:space="preserve">Standard Development and </w:t>
      </w:r>
      <w:r w:rsidR="002B11B9">
        <w:rPr>
          <w:lang w:eastAsia="en-CA"/>
        </w:rPr>
        <w:t xml:space="preserve">Public </w:t>
      </w:r>
      <w:r w:rsidR="00467441">
        <w:rPr>
          <w:lang w:eastAsia="en-CA"/>
        </w:rPr>
        <w:t xml:space="preserve">Consultations </w:t>
      </w:r>
    </w:p>
    <w:p w:rsidR="00BD052D" w:rsidRDefault="00EC3EE8">
      <w:pPr>
        <w:spacing w:after="0"/>
        <w:contextualSpacing/>
        <w:jc w:val="both"/>
        <w:rPr>
          <w:rFonts w:ascii="Times New Roman" w:hAnsi="Times New Roman" w:cs="Times New Roman"/>
          <w:sz w:val="24"/>
          <w:szCs w:val="24"/>
          <w:lang w:eastAsia="en-CA"/>
        </w:rPr>
      </w:pPr>
      <w:r>
        <w:rPr>
          <w:rFonts w:ascii="Times New Roman" w:hAnsi="Times New Roman" w:cs="Times New Roman"/>
          <w:sz w:val="24"/>
          <w:szCs w:val="24"/>
          <w:lang w:eastAsia="en-CA"/>
        </w:rPr>
        <w:t>C</w:t>
      </w:r>
      <w:r w:rsidR="00BD052D" w:rsidRPr="003935F3">
        <w:rPr>
          <w:rFonts w:ascii="Times New Roman" w:hAnsi="Times New Roman" w:cs="Times New Roman"/>
          <w:sz w:val="24"/>
          <w:szCs w:val="24"/>
          <w:lang w:eastAsia="en-CA"/>
        </w:rPr>
        <w:t>onsultations with the public constitute a</w:t>
      </w:r>
      <w:r>
        <w:rPr>
          <w:rFonts w:ascii="Times New Roman" w:hAnsi="Times New Roman" w:cs="Times New Roman"/>
          <w:sz w:val="24"/>
          <w:szCs w:val="24"/>
          <w:lang w:eastAsia="en-CA"/>
        </w:rPr>
        <w:t xml:space="preserve">n equally </w:t>
      </w:r>
      <w:r w:rsidR="00BD052D" w:rsidRPr="003935F3">
        <w:rPr>
          <w:rFonts w:ascii="Times New Roman" w:hAnsi="Times New Roman" w:cs="Times New Roman"/>
          <w:sz w:val="24"/>
          <w:szCs w:val="24"/>
          <w:lang w:eastAsia="en-CA"/>
        </w:rPr>
        <w:t>significant part of the standard development process.</w:t>
      </w:r>
      <w:r w:rsidR="00BD052D" w:rsidRPr="00E57049">
        <w:rPr>
          <w:rFonts w:ascii="Times New Roman" w:hAnsi="Times New Roman" w:cs="Times New Roman"/>
          <w:sz w:val="24"/>
          <w:szCs w:val="24"/>
          <w:lang w:eastAsia="en-CA"/>
        </w:rPr>
        <w:t xml:space="preserve"> </w:t>
      </w:r>
      <w:r w:rsidR="00BD052D" w:rsidRPr="003935F3">
        <w:rPr>
          <w:rFonts w:ascii="Times New Roman" w:hAnsi="Times New Roman" w:cs="Times New Roman"/>
          <w:sz w:val="24"/>
          <w:szCs w:val="24"/>
          <w:lang w:eastAsia="en-CA"/>
        </w:rPr>
        <w:t>In developing</w:t>
      </w:r>
      <w:r w:rsidR="00C43397">
        <w:rPr>
          <w:rFonts w:ascii="Times New Roman" w:hAnsi="Times New Roman" w:cs="Times New Roman"/>
          <w:sz w:val="24"/>
          <w:szCs w:val="24"/>
          <w:lang w:eastAsia="en-CA"/>
        </w:rPr>
        <w:t xml:space="preserve"> its recommendations to the minister regarding the</w:t>
      </w:r>
      <w:r w:rsidR="00BD052D" w:rsidRPr="003935F3">
        <w:rPr>
          <w:rFonts w:ascii="Times New Roman" w:hAnsi="Times New Roman" w:cs="Times New Roman"/>
          <w:sz w:val="24"/>
          <w:szCs w:val="24"/>
          <w:lang w:eastAsia="en-CA"/>
        </w:rPr>
        <w:t xml:space="preserve"> standards, the </w:t>
      </w:r>
      <w:r w:rsidR="00442512">
        <w:rPr>
          <w:rFonts w:ascii="Times New Roman" w:hAnsi="Times New Roman" w:cs="Times New Roman"/>
          <w:sz w:val="24"/>
          <w:szCs w:val="24"/>
          <w:lang w:eastAsia="en-CA"/>
        </w:rPr>
        <w:t>AAC is</w:t>
      </w:r>
      <w:r w:rsidR="00467441" w:rsidRPr="003935F3">
        <w:rPr>
          <w:rFonts w:ascii="Times New Roman" w:hAnsi="Times New Roman" w:cs="Times New Roman"/>
          <w:sz w:val="24"/>
          <w:szCs w:val="24"/>
          <w:lang w:eastAsia="en-CA"/>
        </w:rPr>
        <w:t xml:space="preserve"> </w:t>
      </w:r>
      <w:r w:rsidR="00BD052D" w:rsidRPr="003935F3">
        <w:rPr>
          <w:rFonts w:ascii="Times New Roman" w:hAnsi="Times New Roman" w:cs="Times New Roman"/>
          <w:sz w:val="24"/>
          <w:szCs w:val="24"/>
          <w:lang w:eastAsia="en-CA"/>
        </w:rPr>
        <w:t>required to consult with the public.</w:t>
      </w:r>
      <w:r w:rsidR="00C43397">
        <w:rPr>
          <w:rStyle w:val="FootnoteReference"/>
          <w:rFonts w:ascii="Times New Roman" w:hAnsi="Times New Roman" w:cs="Times New Roman"/>
          <w:sz w:val="24"/>
          <w:szCs w:val="24"/>
          <w:lang w:eastAsia="en-CA"/>
        </w:rPr>
        <w:footnoteReference w:id="51"/>
      </w:r>
      <w:r w:rsidR="00BD052D" w:rsidRPr="003935F3">
        <w:rPr>
          <w:rFonts w:ascii="Times New Roman" w:hAnsi="Times New Roman" w:cs="Times New Roman"/>
          <w:sz w:val="24"/>
          <w:szCs w:val="24"/>
          <w:lang w:eastAsia="en-CA"/>
        </w:rPr>
        <w:t xml:space="preserve"> The public </w:t>
      </w:r>
      <w:r w:rsidR="00467441">
        <w:rPr>
          <w:rFonts w:ascii="Times New Roman" w:hAnsi="Times New Roman" w:cs="Times New Roman"/>
          <w:sz w:val="24"/>
          <w:szCs w:val="24"/>
          <w:lang w:eastAsia="en-CA"/>
        </w:rPr>
        <w:t>is</w:t>
      </w:r>
      <w:r w:rsidR="00467441" w:rsidRPr="003935F3">
        <w:rPr>
          <w:rFonts w:ascii="Times New Roman" w:hAnsi="Times New Roman" w:cs="Times New Roman"/>
          <w:sz w:val="24"/>
          <w:szCs w:val="24"/>
          <w:lang w:eastAsia="en-CA"/>
        </w:rPr>
        <w:t xml:space="preserve"> </w:t>
      </w:r>
      <w:r w:rsidR="00BD052D" w:rsidRPr="003935F3">
        <w:rPr>
          <w:rFonts w:ascii="Times New Roman" w:hAnsi="Times New Roman" w:cs="Times New Roman"/>
          <w:sz w:val="24"/>
          <w:szCs w:val="24"/>
          <w:lang w:eastAsia="en-CA"/>
        </w:rPr>
        <w:t>defined broadly to include</w:t>
      </w:r>
      <w:r w:rsidR="00BD052D">
        <w:rPr>
          <w:rFonts w:ascii="Times New Roman" w:hAnsi="Times New Roman" w:cs="Times New Roman"/>
          <w:sz w:val="24"/>
          <w:szCs w:val="24"/>
          <w:lang w:eastAsia="en-CA"/>
        </w:rPr>
        <w:t xml:space="preserve"> “[p]ersons disabled by barriers or representatives from organizations of persons disabled by barriers; [r]epresentatives of those engaged in the activity or undertaking, or representatives of the sector or the persons or organizations, that may be subject to the proposed accessibility standard; [o]ther representatives of the government and the boards, commission and agencies of the government that have responsibilities relating to the activity or undertaking, sector or persons or </w:t>
      </w:r>
      <w:r w:rsidR="00BD052D">
        <w:rPr>
          <w:rFonts w:ascii="Times New Roman" w:hAnsi="Times New Roman" w:cs="Times New Roman"/>
          <w:sz w:val="24"/>
          <w:szCs w:val="24"/>
          <w:lang w:eastAsia="en-CA"/>
        </w:rPr>
        <w:lastRenderedPageBreak/>
        <w:t>organizations that may be made subject to the proposed accessibility standard; and [a]ny other persons or organizations that the Minister considers advisable.”</w:t>
      </w:r>
      <w:r w:rsidR="00BD052D">
        <w:rPr>
          <w:rStyle w:val="FootnoteReference"/>
          <w:rFonts w:ascii="Times New Roman" w:hAnsi="Times New Roman" w:cs="Times New Roman"/>
          <w:sz w:val="24"/>
          <w:szCs w:val="24"/>
          <w:lang w:eastAsia="en-CA"/>
        </w:rPr>
        <w:footnoteReference w:id="52"/>
      </w:r>
      <w:r w:rsidR="00BD052D">
        <w:rPr>
          <w:rFonts w:ascii="Times New Roman" w:hAnsi="Times New Roman" w:cs="Times New Roman"/>
          <w:sz w:val="24"/>
          <w:szCs w:val="24"/>
          <w:lang w:eastAsia="en-CA"/>
        </w:rPr>
        <w:t xml:space="preserve"> Prior to the consultations, the Committee </w:t>
      </w:r>
      <w:r w:rsidR="00C43397">
        <w:rPr>
          <w:rFonts w:ascii="Times New Roman" w:hAnsi="Times New Roman" w:cs="Times New Roman"/>
          <w:sz w:val="24"/>
          <w:szCs w:val="24"/>
          <w:lang w:eastAsia="en-CA"/>
        </w:rPr>
        <w:t xml:space="preserve">is normally required to develop </w:t>
      </w:r>
      <w:r w:rsidR="00BD052D">
        <w:rPr>
          <w:rFonts w:ascii="Times New Roman" w:hAnsi="Times New Roman" w:cs="Times New Roman"/>
          <w:sz w:val="24"/>
          <w:szCs w:val="24"/>
          <w:lang w:eastAsia="en-CA"/>
        </w:rPr>
        <w:t xml:space="preserve">a discussion paper and </w:t>
      </w:r>
      <w:r w:rsidR="00C43397">
        <w:rPr>
          <w:rFonts w:ascii="Times New Roman" w:hAnsi="Times New Roman" w:cs="Times New Roman"/>
          <w:sz w:val="24"/>
          <w:szCs w:val="24"/>
          <w:lang w:eastAsia="en-CA"/>
        </w:rPr>
        <w:t xml:space="preserve">to </w:t>
      </w:r>
      <w:r w:rsidR="00BD052D">
        <w:rPr>
          <w:rFonts w:ascii="Times New Roman" w:hAnsi="Times New Roman" w:cs="Times New Roman"/>
          <w:sz w:val="24"/>
          <w:szCs w:val="24"/>
          <w:lang w:eastAsia="en-CA"/>
        </w:rPr>
        <w:t>request feedback</w:t>
      </w:r>
      <w:r w:rsidR="00C43397">
        <w:rPr>
          <w:rFonts w:ascii="Times New Roman" w:hAnsi="Times New Roman" w:cs="Times New Roman"/>
          <w:sz w:val="24"/>
          <w:szCs w:val="24"/>
          <w:lang w:eastAsia="en-CA"/>
        </w:rPr>
        <w:t xml:space="preserve">. These consultations </w:t>
      </w:r>
      <w:r w:rsidR="000D5810">
        <w:rPr>
          <w:rFonts w:ascii="Times New Roman" w:hAnsi="Times New Roman" w:cs="Times New Roman"/>
          <w:sz w:val="24"/>
          <w:szCs w:val="24"/>
          <w:lang w:eastAsia="en-CA"/>
        </w:rPr>
        <w:t>are</w:t>
      </w:r>
      <w:r w:rsidR="00C43397">
        <w:rPr>
          <w:rFonts w:ascii="Times New Roman" w:hAnsi="Times New Roman" w:cs="Times New Roman"/>
          <w:sz w:val="24"/>
          <w:szCs w:val="24"/>
          <w:lang w:eastAsia="en-CA"/>
        </w:rPr>
        <w:t xml:space="preserve"> conducted</w:t>
      </w:r>
      <w:r w:rsidR="00BD052D">
        <w:rPr>
          <w:rFonts w:ascii="Times New Roman" w:hAnsi="Times New Roman" w:cs="Times New Roman"/>
          <w:sz w:val="24"/>
          <w:szCs w:val="24"/>
          <w:lang w:eastAsia="en-CA"/>
        </w:rPr>
        <w:t xml:space="preserve"> through written submissions</w:t>
      </w:r>
      <w:r w:rsidR="00C43397">
        <w:rPr>
          <w:rFonts w:ascii="Times New Roman" w:hAnsi="Times New Roman" w:cs="Times New Roman"/>
          <w:sz w:val="24"/>
          <w:szCs w:val="24"/>
          <w:lang w:eastAsia="en-CA"/>
        </w:rPr>
        <w:t>,</w:t>
      </w:r>
      <w:r w:rsidR="00BD052D">
        <w:rPr>
          <w:rFonts w:ascii="Times New Roman" w:hAnsi="Times New Roman" w:cs="Times New Roman"/>
          <w:sz w:val="24"/>
          <w:szCs w:val="24"/>
          <w:lang w:eastAsia="en-CA"/>
        </w:rPr>
        <w:t xml:space="preserve"> and in person or via webcast during the public consultation</w:t>
      </w:r>
      <w:r w:rsidR="00C43397">
        <w:rPr>
          <w:rFonts w:ascii="Times New Roman" w:hAnsi="Times New Roman" w:cs="Times New Roman"/>
          <w:sz w:val="24"/>
          <w:szCs w:val="24"/>
          <w:lang w:eastAsia="en-CA"/>
        </w:rPr>
        <w:t xml:space="preserve"> hearings</w:t>
      </w:r>
      <w:r w:rsidR="00BD052D">
        <w:rPr>
          <w:rFonts w:ascii="Times New Roman" w:hAnsi="Times New Roman" w:cs="Times New Roman"/>
          <w:sz w:val="24"/>
          <w:szCs w:val="24"/>
          <w:lang w:eastAsia="en-CA"/>
        </w:rPr>
        <w:t>.</w:t>
      </w:r>
      <w:r w:rsidR="00BD052D">
        <w:rPr>
          <w:rStyle w:val="FootnoteReference"/>
          <w:rFonts w:ascii="Times New Roman" w:hAnsi="Times New Roman" w:cs="Times New Roman"/>
          <w:sz w:val="24"/>
          <w:szCs w:val="24"/>
          <w:lang w:eastAsia="en-CA"/>
        </w:rPr>
        <w:footnoteReference w:id="53"/>
      </w:r>
      <w:r w:rsidR="00BD052D">
        <w:rPr>
          <w:rFonts w:ascii="Times New Roman" w:hAnsi="Times New Roman" w:cs="Times New Roman"/>
          <w:sz w:val="24"/>
          <w:szCs w:val="24"/>
          <w:lang w:eastAsia="en-CA"/>
        </w:rPr>
        <w:t xml:space="preserve"> </w:t>
      </w:r>
      <w:r w:rsidR="000D5810">
        <w:rPr>
          <w:rFonts w:ascii="Times New Roman" w:hAnsi="Times New Roman" w:cs="Times New Roman"/>
          <w:sz w:val="24"/>
          <w:szCs w:val="24"/>
          <w:lang w:eastAsia="en-CA"/>
        </w:rPr>
        <w:t xml:space="preserve">To date, the Customer Service Standard is the only standard for which discussion paper consultations have been completed. </w:t>
      </w:r>
      <w:r w:rsidR="00BD052D">
        <w:rPr>
          <w:rFonts w:ascii="Times New Roman" w:hAnsi="Times New Roman" w:cs="Times New Roman"/>
          <w:sz w:val="24"/>
          <w:szCs w:val="24"/>
          <w:lang w:eastAsia="en-CA"/>
        </w:rPr>
        <w:t>The call for submissions and participation was promoted by the Disabilities Issues Office</w:t>
      </w:r>
      <w:r w:rsidR="00FA2D6D">
        <w:rPr>
          <w:rFonts w:ascii="Times New Roman" w:hAnsi="Times New Roman" w:cs="Times New Roman"/>
          <w:sz w:val="24"/>
          <w:szCs w:val="24"/>
          <w:lang w:eastAsia="en-CA"/>
        </w:rPr>
        <w:t xml:space="preserve"> (DIO)</w:t>
      </w:r>
      <w:r w:rsidR="00BD052D">
        <w:rPr>
          <w:rFonts w:ascii="Times New Roman" w:hAnsi="Times New Roman" w:cs="Times New Roman"/>
          <w:sz w:val="24"/>
          <w:szCs w:val="24"/>
          <w:lang w:eastAsia="en-CA"/>
        </w:rPr>
        <w:t xml:space="preserve"> and circulated online amongst stakeholders.</w:t>
      </w:r>
      <w:r w:rsidR="00BD052D">
        <w:rPr>
          <w:rStyle w:val="FootnoteReference"/>
          <w:rFonts w:ascii="Times New Roman" w:hAnsi="Times New Roman" w:cs="Times New Roman"/>
          <w:sz w:val="24"/>
          <w:szCs w:val="24"/>
          <w:lang w:eastAsia="en-CA"/>
        </w:rPr>
        <w:footnoteReference w:id="54"/>
      </w:r>
    </w:p>
    <w:p w:rsidR="004832E7" w:rsidRDefault="004832E7" w:rsidP="00884048">
      <w:pPr>
        <w:spacing w:after="0" w:line="240" w:lineRule="auto"/>
        <w:jc w:val="both"/>
        <w:rPr>
          <w:rFonts w:ascii="Times New Roman" w:hAnsi="Times New Roman" w:cs="Times New Roman"/>
          <w:sz w:val="24"/>
          <w:szCs w:val="24"/>
          <w:lang w:eastAsia="en-CA"/>
        </w:rPr>
      </w:pPr>
    </w:p>
    <w:p w:rsidR="00BD052D" w:rsidRDefault="00BD052D">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 xml:space="preserve">A proposed accessibility standard is then made by the minister based on the recommendations of the </w:t>
      </w:r>
      <w:r w:rsidR="001A0D73">
        <w:rPr>
          <w:rFonts w:ascii="Times New Roman" w:hAnsi="Times New Roman" w:cs="Times New Roman"/>
          <w:sz w:val="24"/>
          <w:szCs w:val="24"/>
          <w:lang w:eastAsia="en-CA"/>
        </w:rPr>
        <w:t>AAC</w:t>
      </w:r>
      <w:r w:rsidR="004419AC">
        <w:rPr>
          <w:rFonts w:ascii="Times New Roman" w:hAnsi="Times New Roman" w:cs="Times New Roman"/>
          <w:sz w:val="24"/>
          <w:szCs w:val="24"/>
          <w:lang w:eastAsia="en-CA"/>
        </w:rPr>
        <w:t>. It is</w:t>
      </w:r>
      <w:r>
        <w:rPr>
          <w:rFonts w:ascii="Times New Roman" w:hAnsi="Times New Roman" w:cs="Times New Roman"/>
          <w:sz w:val="24"/>
          <w:szCs w:val="24"/>
          <w:lang w:eastAsia="en-CA"/>
        </w:rPr>
        <w:t xml:space="preserve"> to be made available, along with the recommendations, to the public.</w:t>
      </w:r>
      <w:r>
        <w:rPr>
          <w:rStyle w:val="FootnoteReference"/>
          <w:rFonts w:ascii="Times New Roman" w:hAnsi="Times New Roman" w:cs="Times New Roman"/>
          <w:sz w:val="24"/>
          <w:szCs w:val="24"/>
          <w:lang w:eastAsia="en-CA"/>
        </w:rPr>
        <w:footnoteReference w:id="55"/>
      </w:r>
      <w:r w:rsidR="008C1A84">
        <w:rPr>
          <w:rFonts w:ascii="Times New Roman" w:hAnsi="Times New Roman" w:cs="Times New Roman"/>
          <w:sz w:val="24"/>
          <w:szCs w:val="24"/>
          <w:lang w:eastAsia="en-CA"/>
        </w:rPr>
        <w:t xml:space="preserve"> Member of the public have</w:t>
      </w:r>
      <w:r>
        <w:rPr>
          <w:rFonts w:ascii="Times New Roman" w:hAnsi="Times New Roman" w:cs="Times New Roman"/>
          <w:sz w:val="24"/>
          <w:szCs w:val="24"/>
          <w:lang w:eastAsia="en-CA"/>
        </w:rPr>
        <w:t xml:space="preserve"> sixty days to </w:t>
      </w:r>
      <w:r w:rsidR="008C1A84">
        <w:rPr>
          <w:rFonts w:ascii="Times New Roman" w:hAnsi="Times New Roman" w:cs="Times New Roman"/>
          <w:sz w:val="24"/>
          <w:szCs w:val="24"/>
          <w:lang w:eastAsia="en-CA"/>
        </w:rPr>
        <w:t>submit comments to the AAC. The AAC reviews the comments</w:t>
      </w:r>
      <w:r w:rsidR="000D5810">
        <w:rPr>
          <w:rFonts w:ascii="Times New Roman" w:hAnsi="Times New Roman" w:cs="Times New Roman"/>
          <w:sz w:val="24"/>
          <w:szCs w:val="24"/>
          <w:lang w:eastAsia="en-CA"/>
        </w:rPr>
        <w:t>,</w:t>
      </w:r>
      <w:r w:rsidR="008C1A84">
        <w:rPr>
          <w:rFonts w:ascii="Times New Roman" w:hAnsi="Times New Roman" w:cs="Times New Roman"/>
          <w:sz w:val="24"/>
          <w:szCs w:val="24"/>
          <w:lang w:eastAsia="en-CA"/>
        </w:rPr>
        <w:t xml:space="preserve"> prepares amendments based on public feedback </w:t>
      </w:r>
      <w:r>
        <w:rPr>
          <w:rFonts w:ascii="Times New Roman" w:hAnsi="Times New Roman" w:cs="Times New Roman"/>
          <w:sz w:val="24"/>
          <w:szCs w:val="24"/>
          <w:lang w:eastAsia="en-CA"/>
        </w:rPr>
        <w:t>make</w:t>
      </w:r>
      <w:r w:rsidR="008C1A84">
        <w:rPr>
          <w:rFonts w:ascii="Times New Roman" w:hAnsi="Times New Roman" w:cs="Times New Roman"/>
          <w:sz w:val="24"/>
          <w:szCs w:val="24"/>
          <w:lang w:eastAsia="en-CA"/>
        </w:rPr>
        <w:t>s its recommendations. After making any additional modifications</w:t>
      </w:r>
      <w:r w:rsidR="00EF2744">
        <w:rPr>
          <w:rFonts w:ascii="Times New Roman" w:hAnsi="Times New Roman" w:cs="Times New Roman"/>
          <w:sz w:val="24"/>
          <w:szCs w:val="24"/>
          <w:lang w:eastAsia="en-CA"/>
        </w:rPr>
        <w:t xml:space="preserve"> they see fit, </w:t>
      </w:r>
      <w:r>
        <w:rPr>
          <w:rFonts w:ascii="Times New Roman" w:hAnsi="Times New Roman" w:cs="Times New Roman"/>
          <w:sz w:val="24"/>
          <w:szCs w:val="24"/>
          <w:lang w:eastAsia="en-CA"/>
        </w:rPr>
        <w:t>the minister</w:t>
      </w:r>
      <w:r w:rsidR="00DF4060">
        <w:rPr>
          <w:rFonts w:ascii="Times New Roman" w:hAnsi="Times New Roman" w:cs="Times New Roman"/>
          <w:sz w:val="24"/>
          <w:szCs w:val="24"/>
          <w:lang w:eastAsia="en-CA"/>
        </w:rPr>
        <w:t xml:space="preserve"> </w:t>
      </w:r>
      <w:r>
        <w:rPr>
          <w:rFonts w:ascii="Times New Roman" w:hAnsi="Times New Roman" w:cs="Times New Roman"/>
          <w:sz w:val="24"/>
          <w:szCs w:val="24"/>
          <w:lang w:eastAsia="en-CA"/>
        </w:rPr>
        <w:t>recommend</w:t>
      </w:r>
      <w:r w:rsidR="00EF2744">
        <w:rPr>
          <w:rFonts w:ascii="Times New Roman" w:hAnsi="Times New Roman" w:cs="Times New Roman"/>
          <w:sz w:val="24"/>
          <w:szCs w:val="24"/>
          <w:lang w:eastAsia="en-CA"/>
        </w:rPr>
        <w:t>s the standard</w:t>
      </w:r>
      <w:r>
        <w:rPr>
          <w:rFonts w:ascii="Times New Roman" w:hAnsi="Times New Roman" w:cs="Times New Roman"/>
          <w:sz w:val="24"/>
          <w:szCs w:val="24"/>
          <w:lang w:eastAsia="en-CA"/>
        </w:rPr>
        <w:t xml:space="preserve"> to the Lieutenant Governor in Council.</w:t>
      </w:r>
      <w:r>
        <w:rPr>
          <w:rStyle w:val="FootnoteReference"/>
          <w:rFonts w:ascii="Times New Roman" w:hAnsi="Times New Roman" w:cs="Times New Roman"/>
          <w:sz w:val="24"/>
          <w:szCs w:val="24"/>
          <w:lang w:eastAsia="en-CA"/>
        </w:rPr>
        <w:footnoteReference w:id="56"/>
      </w:r>
      <w:r>
        <w:rPr>
          <w:rFonts w:ascii="Times New Roman" w:hAnsi="Times New Roman" w:cs="Times New Roman"/>
          <w:sz w:val="24"/>
          <w:szCs w:val="24"/>
          <w:lang w:eastAsia="en-CA"/>
        </w:rPr>
        <w:t xml:space="preserve"> </w:t>
      </w:r>
      <w:r w:rsidR="00376BFF">
        <w:rPr>
          <w:rFonts w:ascii="Times New Roman" w:hAnsi="Times New Roman" w:cs="Times New Roman"/>
          <w:sz w:val="24"/>
          <w:szCs w:val="24"/>
          <w:lang w:eastAsia="en-CA"/>
        </w:rPr>
        <w:t>Once the recommended standard is approved and enacted as a regulation, it becomes law and is enforceable.</w:t>
      </w:r>
      <w:r w:rsidR="00376BFF">
        <w:rPr>
          <w:rStyle w:val="FootnoteReference"/>
          <w:rFonts w:ascii="Times New Roman" w:hAnsi="Times New Roman" w:cs="Times New Roman"/>
          <w:sz w:val="24"/>
          <w:szCs w:val="24"/>
          <w:lang w:eastAsia="en-CA"/>
        </w:rPr>
        <w:footnoteReference w:id="57"/>
      </w:r>
    </w:p>
    <w:p w:rsidR="00BD052D" w:rsidRDefault="00BD052D" w:rsidP="00884048">
      <w:pPr>
        <w:spacing w:after="0" w:line="240" w:lineRule="auto"/>
        <w:jc w:val="both"/>
        <w:rPr>
          <w:rFonts w:ascii="Times New Roman" w:hAnsi="Times New Roman" w:cs="Times New Roman"/>
          <w:sz w:val="24"/>
          <w:szCs w:val="24"/>
          <w:lang w:eastAsia="en-CA"/>
        </w:rPr>
      </w:pPr>
    </w:p>
    <w:p w:rsidR="00BD052D" w:rsidRPr="00A27F56" w:rsidRDefault="0085090F">
      <w:pPr>
        <w:spacing w:after="0"/>
        <w:contextualSpacing/>
        <w:jc w:val="both"/>
        <w:rPr>
          <w:rFonts w:ascii="Times New Roman" w:hAnsi="Times New Roman" w:cs="Times New Roman"/>
          <w:sz w:val="24"/>
          <w:szCs w:val="24"/>
          <w:lang w:eastAsia="en-CA"/>
        </w:rPr>
      </w:pPr>
      <w:r w:rsidRPr="00203B45">
        <w:rPr>
          <w:rFonts w:ascii="Times New Roman" w:hAnsi="Times New Roman" w:cs="Times New Roman"/>
          <w:sz w:val="24"/>
          <w:szCs w:val="24"/>
          <w:lang w:eastAsia="en-CA"/>
        </w:rPr>
        <w:t>In Manitoba, the Customer Service Regulation was the first standard to have been completed.</w:t>
      </w:r>
      <w:r w:rsidRPr="003935F3">
        <w:rPr>
          <w:rStyle w:val="FootnoteReference"/>
          <w:rFonts w:ascii="Times New Roman" w:hAnsi="Times New Roman" w:cs="Times New Roman"/>
          <w:sz w:val="24"/>
          <w:szCs w:val="24"/>
          <w:lang w:eastAsia="en-CA"/>
        </w:rPr>
        <w:footnoteReference w:id="58"/>
      </w:r>
      <w:r w:rsidRPr="00203B45">
        <w:rPr>
          <w:rFonts w:ascii="Times New Roman" w:hAnsi="Times New Roman" w:cs="Times New Roman"/>
          <w:sz w:val="24"/>
          <w:szCs w:val="24"/>
          <w:lang w:eastAsia="en-CA"/>
        </w:rPr>
        <w:t xml:space="preserve"> It was created by the AAC which stood in the place of a standard development committee.</w:t>
      </w:r>
      <w:r w:rsidRPr="003935F3">
        <w:rPr>
          <w:rFonts w:ascii="Times New Roman" w:hAnsi="Times New Roman" w:cs="Times New Roman"/>
          <w:sz w:val="24"/>
          <w:szCs w:val="24"/>
          <w:lang w:eastAsia="en-CA"/>
        </w:rPr>
        <w:t xml:space="preserve"> </w:t>
      </w:r>
      <w:r w:rsidRPr="00203B45">
        <w:rPr>
          <w:rFonts w:ascii="Times New Roman" w:hAnsi="Times New Roman" w:cs="Times New Roman"/>
          <w:sz w:val="24"/>
          <w:szCs w:val="24"/>
        </w:rPr>
        <w:t>This arrangement was made in order to protect the continuity of ideas of the newly formed AAC</w:t>
      </w:r>
      <w:r w:rsidRPr="003935F3">
        <w:rPr>
          <w:rFonts w:ascii="Times New Roman" w:hAnsi="Times New Roman" w:cs="Times New Roman"/>
          <w:sz w:val="24"/>
          <w:szCs w:val="24"/>
          <w:lang w:eastAsia="en-CA"/>
        </w:rPr>
        <w:t>.</w:t>
      </w:r>
      <w:r w:rsidRPr="003935F3">
        <w:rPr>
          <w:rStyle w:val="FootnoteReference"/>
          <w:rFonts w:ascii="Times New Roman" w:hAnsi="Times New Roman" w:cs="Times New Roman"/>
          <w:sz w:val="24"/>
          <w:szCs w:val="24"/>
          <w:lang w:eastAsia="en-CA"/>
        </w:rPr>
        <w:footnoteReference w:id="59"/>
      </w:r>
      <w:r w:rsidRPr="003935F3">
        <w:rPr>
          <w:rFonts w:ascii="Times New Roman" w:hAnsi="Times New Roman" w:cs="Times New Roman"/>
          <w:sz w:val="24"/>
          <w:szCs w:val="24"/>
          <w:lang w:eastAsia="en-CA"/>
        </w:rPr>
        <w:t xml:space="preserve"> Although the AAC has developed an Accessible Employment Standard Development Committee,</w:t>
      </w:r>
      <w:r w:rsidRPr="003935F3">
        <w:rPr>
          <w:rStyle w:val="FootnoteReference"/>
          <w:rFonts w:ascii="Times New Roman" w:hAnsi="Times New Roman" w:cs="Times New Roman"/>
          <w:sz w:val="24"/>
          <w:szCs w:val="24"/>
          <w:lang w:eastAsia="en-CA"/>
        </w:rPr>
        <w:footnoteReference w:id="60"/>
      </w:r>
      <w:r w:rsidRPr="003935F3">
        <w:rPr>
          <w:rFonts w:ascii="Times New Roman" w:hAnsi="Times New Roman" w:cs="Times New Roman"/>
          <w:sz w:val="24"/>
          <w:szCs w:val="24"/>
          <w:lang w:eastAsia="en-CA"/>
        </w:rPr>
        <w:t xml:space="preserve"> it remains to be seen whether the</w:t>
      </w:r>
      <w:r w:rsidR="009C6571">
        <w:rPr>
          <w:rFonts w:ascii="Times New Roman" w:hAnsi="Times New Roman" w:cs="Times New Roman"/>
          <w:sz w:val="24"/>
          <w:szCs w:val="24"/>
          <w:lang w:eastAsia="en-CA"/>
        </w:rPr>
        <w:t xml:space="preserve"> phenomenon of having the</w:t>
      </w:r>
      <w:r w:rsidRPr="003935F3">
        <w:rPr>
          <w:rFonts w:ascii="Times New Roman" w:hAnsi="Times New Roman" w:cs="Times New Roman"/>
          <w:sz w:val="24"/>
          <w:szCs w:val="24"/>
          <w:lang w:eastAsia="en-CA"/>
        </w:rPr>
        <w:t xml:space="preserve"> AAC </w:t>
      </w:r>
      <w:r w:rsidR="009C6571">
        <w:rPr>
          <w:rFonts w:ascii="Times New Roman" w:hAnsi="Times New Roman" w:cs="Times New Roman"/>
          <w:sz w:val="24"/>
          <w:szCs w:val="24"/>
          <w:lang w:eastAsia="en-CA"/>
        </w:rPr>
        <w:t xml:space="preserve">double </w:t>
      </w:r>
      <w:r w:rsidRPr="003935F3">
        <w:rPr>
          <w:rFonts w:ascii="Times New Roman" w:hAnsi="Times New Roman" w:cs="Times New Roman"/>
          <w:sz w:val="24"/>
          <w:szCs w:val="24"/>
          <w:lang w:eastAsia="en-CA"/>
        </w:rPr>
        <w:t xml:space="preserve">as </w:t>
      </w:r>
      <w:r w:rsidR="009C6571">
        <w:rPr>
          <w:rFonts w:ascii="Times New Roman" w:hAnsi="Times New Roman" w:cs="Times New Roman"/>
          <w:sz w:val="24"/>
          <w:szCs w:val="24"/>
          <w:lang w:eastAsia="en-CA"/>
        </w:rPr>
        <w:t>a</w:t>
      </w:r>
      <w:r w:rsidRPr="003935F3">
        <w:rPr>
          <w:rFonts w:ascii="Times New Roman" w:hAnsi="Times New Roman" w:cs="Times New Roman"/>
          <w:sz w:val="24"/>
          <w:szCs w:val="24"/>
          <w:lang w:eastAsia="en-CA"/>
        </w:rPr>
        <w:t xml:space="preserve"> standard development committee will recur in the future.</w:t>
      </w:r>
      <w:r>
        <w:rPr>
          <w:rFonts w:ascii="Times New Roman" w:hAnsi="Times New Roman" w:cs="Times New Roman"/>
          <w:sz w:val="24"/>
          <w:szCs w:val="24"/>
          <w:lang w:eastAsia="en-CA"/>
        </w:rPr>
        <w:t xml:space="preserve"> </w:t>
      </w:r>
      <w:r w:rsidR="00BD052D">
        <w:rPr>
          <w:rFonts w:ascii="Times New Roman" w:hAnsi="Times New Roman" w:cs="Times New Roman"/>
          <w:sz w:val="24"/>
          <w:szCs w:val="24"/>
          <w:lang w:eastAsia="en-CA"/>
        </w:rPr>
        <w:t xml:space="preserve">The </w:t>
      </w:r>
      <w:r w:rsidR="00767E66">
        <w:rPr>
          <w:rFonts w:ascii="Times New Roman" w:hAnsi="Times New Roman" w:cs="Times New Roman"/>
          <w:sz w:val="24"/>
          <w:szCs w:val="24"/>
          <w:lang w:eastAsia="en-CA"/>
        </w:rPr>
        <w:t>AAC</w:t>
      </w:r>
      <w:r w:rsidR="00BD052D">
        <w:rPr>
          <w:rFonts w:ascii="Times New Roman" w:hAnsi="Times New Roman" w:cs="Times New Roman"/>
          <w:sz w:val="24"/>
          <w:szCs w:val="24"/>
          <w:lang w:eastAsia="en-CA"/>
        </w:rPr>
        <w:t xml:space="preserve"> spent nine months conducting background research, writing a discussion paper, </w:t>
      </w:r>
      <w:r>
        <w:rPr>
          <w:rFonts w:ascii="Times New Roman" w:hAnsi="Times New Roman" w:cs="Times New Roman"/>
          <w:sz w:val="24"/>
          <w:szCs w:val="24"/>
          <w:lang w:eastAsia="en-CA"/>
        </w:rPr>
        <w:t xml:space="preserve">conducting </w:t>
      </w:r>
      <w:r w:rsidR="00BD052D">
        <w:rPr>
          <w:rFonts w:ascii="Times New Roman" w:hAnsi="Times New Roman" w:cs="Times New Roman"/>
          <w:sz w:val="24"/>
          <w:szCs w:val="24"/>
          <w:lang w:eastAsia="en-CA"/>
        </w:rPr>
        <w:t xml:space="preserve">public consultations, and reviewing comments and submissions received on the proposed </w:t>
      </w:r>
      <w:r w:rsidR="00376BFF">
        <w:rPr>
          <w:rFonts w:ascii="Times New Roman" w:hAnsi="Times New Roman" w:cs="Times New Roman"/>
          <w:sz w:val="24"/>
          <w:szCs w:val="24"/>
          <w:lang w:eastAsia="en-CA"/>
        </w:rPr>
        <w:t xml:space="preserve">customer service </w:t>
      </w:r>
      <w:r w:rsidR="00BD052D">
        <w:rPr>
          <w:rFonts w:ascii="Times New Roman" w:hAnsi="Times New Roman" w:cs="Times New Roman"/>
          <w:sz w:val="24"/>
          <w:szCs w:val="24"/>
          <w:lang w:eastAsia="en-CA"/>
        </w:rPr>
        <w:t>accessibility standard</w:t>
      </w:r>
      <w:r w:rsidR="00376BFF">
        <w:rPr>
          <w:rFonts w:ascii="Times New Roman" w:hAnsi="Times New Roman" w:cs="Times New Roman"/>
          <w:sz w:val="24"/>
          <w:szCs w:val="24"/>
          <w:lang w:eastAsia="en-CA"/>
        </w:rPr>
        <w:t>.</w:t>
      </w:r>
      <w:r w:rsidR="00B42AE4">
        <w:rPr>
          <w:rStyle w:val="FootnoteReference"/>
          <w:rFonts w:ascii="Times New Roman" w:hAnsi="Times New Roman" w:cs="Times New Roman"/>
          <w:sz w:val="24"/>
          <w:szCs w:val="24"/>
          <w:lang w:eastAsia="en-CA"/>
        </w:rPr>
        <w:footnoteReference w:id="61"/>
      </w:r>
      <w:r w:rsidR="00376BFF">
        <w:rPr>
          <w:rFonts w:ascii="Times New Roman" w:hAnsi="Times New Roman" w:cs="Times New Roman"/>
          <w:sz w:val="24"/>
          <w:szCs w:val="24"/>
          <w:lang w:eastAsia="en-CA"/>
        </w:rPr>
        <w:t xml:space="preserve"> The proposed standard</w:t>
      </w:r>
      <w:r w:rsidR="00BD052D">
        <w:rPr>
          <w:rFonts w:ascii="Times New Roman" w:hAnsi="Times New Roman" w:cs="Times New Roman"/>
          <w:sz w:val="24"/>
          <w:szCs w:val="24"/>
          <w:lang w:eastAsia="en-CA"/>
        </w:rPr>
        <w:t xml:space="preserve"> was </w:t>
      </w:r>
      <w:r w:rsidR="00376BFF">
        <w:rPr>
          <w:rFonts w:ascii="Times New Roman" w:hAnsi="Times New Roman" w:cs="Times New Roman"/>
          <w:sz w:val="24"/>
          <w:szCs w:val="24"/>
          <w:lang w:eastAsia="en-CA"/>
        </w:rPr>
        <w:t xml:space="preserve">made </w:t>
      </w:r>
      <w:r w:rsidR="00BD052D">
        <w:rPr>
          <w:rFonts w:ascii="Times New Roman" w:hAnsi="Times New Roman" w:cs="Times New Roman"/>
          <w:sz w:val="24"/>
          <w:szCs w:val="24"/>
          <w:lang w:eastAsia="en-CA"/>
        </w:rPr>
        <w:t xml:space="preserve">available to the public via the Disabilities Issues Office website before </w:t>
      </w:r>
      <w:r w:rsidR="00376BFF">
        <w:rPr>
          <w:rFonts w:ascii="Times New Roman" w:hAnsi="Times New Roman" w:cs="Times New Roman"/>
          <w:sz w:val="24"/>
          <w:szCs w:val="24"/>
          <w:lang w:eastAsia="en-CA"/>
        </w:rPr>
        <w:t xml:space="preserve">the AAC </w:t>
      </w:r>
      <w:r w:rsidR="00BD052D">
        <w:rPr>
          <w:rFonts w:ascii="Times New Roman" w:hAnsi="Times New Roman" w:cs="Times New Roman"/>
          <w:sz w:val="24"/>
          <w:szCs w:val="24"/>
          <w:lang w:eastAsia="en-CA"/>
        </w:rPr>
        <w:t>submitt</w:t>
      </w:r>
      <w:r w:rsidR="00376BFF">
        <w:rPr>
          <w:rFonts w:ascii="Times New Roman" w:hAnsi="Times New Roman" w:cs="Times New Roman"/>
          <w:sz w:val="24"/>
          <w:szCs w:val="24"/>
          <w:lang w:eastAsia="en-CA"/>
        </w:rPr>
        <w:t>ed</w:t>
      </w:r>
      <w:r w:rsidR="00BD052D">
        <w:rPr>
          <w:rFonts w:ascii="Times New Roman" w:hAnsi="Times New Roman" w:cs="Times New Roman"/>
          <w:sz w:val="24"/>
          <w:szCs w:val="24"/>
          <w:lang w:eastAsia="en-CA"/>
        </w:rPr>
        <w:t xml:space="preserve"> their recommendations to the minister.</w:t>
      </w:r>
      <w:r w:rsidR="00BD052D">
        <w:rPr>
          <w:rStyle w:val="FootnoteReference"/>
          <w:rFonts w:ascii="Times New Roman" w:hAnsi="Times New Roman" w:cs="Times New Roman"/>
          <w:sz w:val="24"/>
          <w:szCs w:val="24"/>
          <w:lang w:eastAsia="en-CA"/>
        </w:rPr>
        <w:footnoteReference w:id="62"/>
      </w:r>
      <w:r w:rsidR="00BD052D">
        <w:rPr>
          <w:rFonts w:ascii="Times New Roman" w:hAnsi="Times New Roman" w:cs="Times New Roman"/>
          <w:sz w:val="24"/>
          <w:szCs w:val="24"/>
          <w:lang w:eastAsia="en-CA"/>
        </w:rPr>
        <w:t xml:space="preserve"> The minister then worked with the Council to further review the comments submitted and an </w:t>
      </w:r>
      <w:r w:rsidR="00BD052D" w:rsidRPr="00884048">
        <w:rPr>
          <w:rFonts w:ascii="Times New Roman" w:hAnsi="Times New Roman" w:cs="Times New Roman"/>
          <w:sz w:val="24"/>
          <w:szCs w:val="24"/>
          <w:lang w:eastAsia="en-CA"/>
        </w:rPr>
        <w:t xml:space="preserve">amended </w:t>
      </w:r>
      <w:r w:rsidR="00BD052D">
        <w:rPr>
          <w:rFonts w:ascii="Times New Roman" w:hAnsi="Times New Roman" w:cs="Times New Roman"/>
          <w:sz w:val="24"/>
          <w:szCs w:val="24"/>
          <w:lang w:eastAsia="en-CA"/>
        </w:rPr>
        <w:t xml:space="preserve">standard </w:t>
      </w:r>
      <w:r w:rsidR="00376BFF">
        <w:rPr>
          <w:rFonts w:ascii="Times New Roman" w:hAnsi="Times New Roman" w:cs="Times New Roman"/>
          <w:sz w:val="24"/>
          <w:szCs w:val="24"/>
          <w:lang w:eastAsia="en-CA"/>
        </w:rPr>
        <w:t xml:space="preserve">was </w:t>
      </w:r>
      <w:r w:rsidR="00BD052D">
        <w:rPr>
          <w:rFonts w:ascii="Times New Roman" w:hAnsi="Times New Roman" w:cs="Times New Roman"/>
          <w:sz w:val="24"/>
          <w:szCs w:val="24"/>
          <w:lang w:eastAsia="en-CA"/>
        </w:rPr>
        <w:t>submitted to Cabinet for approval.</w:t>
      </w:r>
      <w:r w:rsidR="00BD052D">
        <w:rPr>
          <w:rStyle w:val="FootnoteReference"/>
          <w:rFonts w:ascii="Times New Roman" w:hAnsi="Times New Roman" w:cs="Times New Roman"/>
          <w:sz w:val="24"/>
          <w:szCs w:val="24"/>
          <w:lang w:eastAsia="en-CA"/>
        </w:rPr>
        <w:footnoteReference w:id="63"/>
      </w:r>
      <w:r w:rsidR="00BD052D">
        <w:rPr>
          <w:rFonts w:ascii="Times New Roman" w:hAnsi="Times New Roman" w:cs="Times New Roman"/>
          <w:sz w:val="24"/>
          <w:szCs w:val="24"/>
          <w:lang w:eastAsia="en-CA"/>
        </w:rPr>
        <w:t xml:space="preserve"> </w:t>
      </w:r>
    </w:p>
    <w:p w:rsidR="00BD052D" w:rsidRDefault="00BD052D" w:rsidP="00884048">
      <w:pPr>
        <w:spacing w:after="0" w:line="240" w:lineRule="auto"/>
        <w:jc w:val="both"/>
        <w:rPr>
          <w:rFonts w:ascii="Times New Roman" w:hAnsi="Times New Roman" w:cs="Times New Roman"/>
          <w:sz w:val="24"/>
          <w:szCs w:val="24"/>
          <w:lang w:eastAsia="en-CA"/>
        </w:rPr>
      </w:pPr>
    </w:p>
    <w:p w:rsidR="00117297" w:rsidRDefault="00117297" w:rsidP="00884048">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Public consultations during the standard development process are useful for actualizing the philosophical and social goals inherent to the AMA.</w:t>
      </w:r>
      <w:r w:rsidR="006D7CE4">
        <w:rPr>
          <w:rFonts w:ascii="Times New Roman" w:hAnsi="Times New Roman" w:cs="Times New Roman"/>
          <w:sz w:val="24"/>
          <w:szCs w:val="24"/>
          <w:lang w:eastAsia="en-CA"/>
        </w:rPr>
        <w:t xml:space="preserve"> They offer the potential to discuss and </w:t>
      </w:r>
      <w:r>
        <w:rPr>
          <w:rFonts w:ascii="Times New Roman" w:hAnsi="Times New Roman" w:cs="Times New Roman"/>
          <w:sz w:val="24"/>
          <w:szCs w:val="24"/>
          <w:lang w:eastAsia="en-CA"/>
        </w:rPr>
        <w:t>develop</w:t>
      </w:r>
      <w:r w:rsidR="006D7CE4">
        <w:rPr>
          <w:rFonts w:ascii="Times New Roman" w:hAnsi="Times New Roman" w:cs="Times New Roman"/>
          <w:sz w:val="24"/>
          <w:szCs w:val="24"/>
          <w:lang w:eastAsia="en-CA"/>
        </w:rPr>
        <w:t xml:space="preserve">, in granular detail, </w:t>
      </w:r>
      <w:r>
        <w:rPr>
          <w:rFonts w:ascii="Times New Roman" w:hAnsi="Times New Roman" w:cs="Times New Roman"/>
          <w:sz w:val="24"/>
          <w:szCs w:val="24"/>
          <w:lang w:eastAsia="en-CA"/>
        </w:rPr>
        <w:t>standards that can counter the human rights barriers of inaccessibility and lead to improved health</w:t>
      </w:r>
      <w:r w:rsidR="006D7CE4">
        <w:rPr>
          <w:rFonts w:ascii="Times New Roman" w:hAnsi="Times New Roman" w:cs="Times New Roman"/>
          <w:sz w:val="24"/>
          <w:szCs w:val="24"/>
          <w:lang w:eastAsia="en-CA"/>
        </w:rPr>
        <w:t>,</w:t>
      </w:r>
      <w:r>
        <w:rPr>
          <w:rFonts w:ascii="Times New Roman" w:hAnsi="Times New Roman" w:cs="Times New Roman"/>
          <w:sz w:val="24"/>
          <w:szCs w:val="24"/>
          <w:lang w:eastAsia="en-CA"/>
        </w:rPr>
        <w:t xml:space="preserve"> independence and well-being of persons with disabilities. </w:t>
      </w:r>
      <w:r w:rsidR="006D7CE4">
        <w:rPr>
          <w:rFonts w:ascii="Times New Roman" w:hAnsi="Times New Roman" w:cs="Times New Roman"/>
          <w:sz w:val="24"/>
          <w:szCs w:val="24"/>
          <w:lang w:eastAsia="en-CA"/>
        </w:rPr>
        <w:t>Consultations</w:t>
      </w:r>
      <w:r>
        <w:rPr>
          <w:rFonts w:ascii="Times New Roman" w:hAnsi="Times New Roman" w:cs="Times New Roman"/>
          <w:sz w:val="24"/>
          <w:szCs w:val="24"/>
          <w:lang w:eastAsia="en-CA"/>
        </w:rPr>
        <w:t xml:space="preserve"> can also </w:t>
      </w:r>
      <w:r w:rsidR="006D7CE4">
        <w:rPr>
          <w:rFonts w:ascii="Times New Roman" w:hAnsi="Times New Roman" w:cs="Times New Roman"/>
          <w:sz w:val="24"/>
          <w:szCs w:val="24"/>
          <w:lang w:eastAsia="en-CA"/>
        </w:rPr>
        <w:t xml:space="preserve">serve to </w:t>
      </w:r>
      <w:r>
        <w:rPr>
          <w:rFonts w:ascii="Times New Roman" w:hAnsi="Times New Roman" w:cs="Times New Roman"/>
          <w:sz w:val="24"/>
          <w:szCs w:val="24"/>
          <w:lang w:eastAsia="en-CA"/>
        </w:rPr>
        <w:t>put in</w:t>
      </w:r>
      <w:r w:rsidR="006D7CE4">
        <w:rPr>
          <w:rFonts w:ascii="Times New Roman" w:hAnsi="Times New Roman" w:cs="Times New Roman"/>
          <w:sz w:val="24"/>
          <w:szCs w:val="24"/>
          <w:lang w:eastAsia="en-CA"/>
        </w:rPr>
        <w:t xml:space="preserve"> </w:t>
      </w:r>
      <w:r>
        <w:rPr>
          <w:rFonts w:ascii="Times New Roman" w:hAnsi="Times New Roman" w:cs="Times New Roman"/>
          <w:sz w:val="24"/>
          <w:szCs w:val="24"/>
          <w:lang w:eastAsia="en-CA"/>
        </w:rPr>
        <w:t>p</w:t>
      </w:r>
      <w:r w:rsidR="006D7CE4">
        <w:rPr>
          <w:rFonts w:ascii="Times New Roman" w:hAnsi="Times New Roman" w:cs="Times New Roman"/>
          <w:sz w:val="24"/>
          <w:szCs w:val="24"/>
          <w:lang w:eastAsia="en-CA"/>
        </w:rPr>
        <w:t>ractice</w:t>
      </w:r>
      <w:r>
        <w:rPr>
          <w:rFonts w:ascii="Times New Roman" w:hAnsi="Times New Roman" w:cs="Times New Roman"/>
          <w:sz w:val="24"/>
          <w:szCs w:val="24"/>
          <w:lang w:eastAsia="en-CA"/>
        </w:rPr>
        <w:t xml:space="preserve"> the guiding principles laid out in the statute including universal design and systemic responsibility while encouraging a more inclusive understanding of the experience of disability.</w:t>
      </w:r>
      <w:r w:rsidR="006D7CE4">
        <w:rPr>
          <w:rFonts w:ascii="Times New Roman" w:hAnsi="Times New Roman" w:cs="Times New Roman"/>
          <w:sz w:val="24"/>
          <w:szCs w:val="24"/>
          <w:lang w:eastAsia="en-CA"/>
        </w:rPr>
        <w:t xml:space="preserve"> A further </w:t>
      </w:r>
      <w:r>
        <w:rPr>
          <w:rFonts w:ascii="Times New Roman" w:hAnsi="Times New Roman" w:cs="Times New Roman"/>
          <w:sz w:val="24"/>
          <w:szCs w:val="24"/>
          <w:lang w:eastAsia="en-CA"/>
        </w:rPr>
        <w:t xml:space="preserve">advantage of public consultations is that they offer </w:t>
      </w:r>
      <w:r w:rsidR="006D7CE4">
        <w:rPr>
          <w:rFonts w:ascii="Times New Roman" w:hAnsi="Times New Roman" w:cs="Times New Roman"/>
          <w:sz w:val="24"/>
          <w:szCs w:val="24"/>
          <w:lang w:eastAsia="en-CA"/>
        </w:rPr>
        <w:t>a</w:t>
      </w:r>
      <w:r>
        <w:rPr>
          <w:rFonts w:ascii="Times New Roman" w:hAnsi="Times New Roman" w:cs="Times New Roman"/>
          <w:sz w:val="24"/>
          <w:szCs w:val="24"/>
          <w:lang w:eastAsia="en-CA"/>
        </w:rPr>
        <w:t xml:space="preserve"> potential respon</w:t>
      </w:r>
      <w:r w:rsidR="006D7CE4">
        <w:rPr>
          <w:rFonts w:ascii="Times New Roman" w:hAnsi="Times New Roman" w:cs="Times New Roman"/>
          <w:sz w:val="24"/>
          <w:szCs w:val="24"/>
          <w:lang w:eastAsia="en-CA"/>
        </w:rPr>
        <w:t>se</w:t>
      </w:r>
      <w:r>
        <w:rPr>
          <w:rFonts w:ascii="Times New Roman" w:hAnsi="Times New Roman" w:cs="Times New Roman"/>
          <w:sz w:val="24"/>
          <w:szCs w:val="24"/>
          <w:lang w:eastAsia="en-CA"/>
        </w:rPr>
        <w:t xml:space="preserve"> to the social model critique that an approach to disability focused on</w:t>
      </w:r>
      <w:r w:rsidR="00E20798">
        <w:rPr>
          <w:rFonts w:ascii="Times New Roman" w:hAnsi="Times New Roman" w:cs="Times New Roman"/>
          <w:sz w:val="24"/>
          <w:szCs w:val="24"/>
          <w:lang w:eastAsia="en-CA"/>
        </w:rPr>
        <w:t xml:space="preserve"> societal barriers overlooks the intersectional nature of disability discrimination. Put another way, public consultations </w:t>
      </w:r>
      <w:r w:rsidR="006D7CE4">
        <w:rPr>
          <w:rFonts w:ascii="Times New Roman" w:hAnsi="Times New Roman" w:cs="Times New Roman"/>
          <w:sz w:val="24"/>
          <w:szCs w:val="24"/>
          <w:lang w:eastAsia="en-CA"/>
        </w:rPr>
        <w:t>provide an opportunity</w:t>
      </w:r>
      <w:r w:rsidR="00E20798">
        <w:rPr>
          <w:rFonts w:ascii="Times New Roman" w:hAnsi="Times New Roman" w:cs="Times New Roman"/>
          <w:sz w:val="24"/>
          <w:szCs w:val="24"/>
          <w:lang w:eastAsia="en-CA"/>
        </w:rPr>
        <w:t xml:space="preserve"> for individuals with disabilities to bring forward the connections between disability discrimination and discrimination based on </w:t>
      </w:r>
      <w:r w:rsidR="006D7CE4">
        <w:rPr>
          <w:rFonts w:ascii="Times New Roman" w:hAnsi="Times New Roman" w:cs="Times New Roman"/>
          <w:sz w:val="24"/>
          <w:szCs w:val="24"/>
          <w:lang w:eastAsia="en-CA"/>
        </w:rPr>
        <w:t xml:space="preserve">additional </w:t>
      </w:r>
      <w:r w:rsidR="00E20798">
        <w:rPr>
          <w:rFonts w:ascii="Times New Roman" w:hAnsi="Times New Roman" w:cs="Times New Roman"/>
          <w:sz w:val="24"/>
          <w:szCs w:val="24"/>
          <w:lang w:eastAsia="en-CA"/>
        </w:rPr>
        <w:t xml:space="preserve">often immutable personal characteristics. Yet, as we see from the overview of the standard </w:t>
      </w:r>
      <w:r w:rsidR="00E20798">
        <w:rPr>
          <w:rFonts w:ascii="Times New Roman" w:hAnsi="Times New Roman" w:cs="Times New Roman"/>
          <w:sz w:val="24"/>
          <w:szCs w:val="24"/>
          <w:lang w:eastAsia="en-CA"/>
        </w:rPr>
        <w:lastRenderedPageBreak/>
        <w:t xml:space="preserve">development process, all of these opportunities will require a certain amount of organization on the part of disability advocates to ensure that their messages are brought forward. They will also have to seek opportunities to be appointed to relevant decision-making committees in charge of developing the standards in order </w:t>
      </w:r>
      <w:r w:rsidR="006D7CE4">
        <w:rPr>
          <w:rFonts w:ascii="Times New Roman" w:hAnsi="Times New Roman" w:cs="Times New Roman"/>
          <w:sz w:val="24"/>
          <w:szCs w:val="24"/>
          <w:lang w:eastAsia="en-CA"/>
        </w:rPr>
        <w:t xml:space="preserve">for a true chance </w:t>
      </w:r>
      <w:r w:rsidR="00E20798">
        <w:rPr>
          <w:rFonts w:ascii="Times New Roman" w:hAnsi="Times New Roman" w:cs="Times New Roman"/>
          <w:sz w:val="24"/>
          <w:szCs w:val="24"/>
          <w:lang w:eastAsia="en-CA"/>
        </w:rPr>
        <w:t xml:space="preserve">to </w:t>
      </w:r>
      <w:r w:rsidR="006D7CE4">
        <w:rPr>
          <w:rFonts w:ascii="Times New Roman" w:hAnsi="Times New Roman" w:cs="Times New Roman"/>
          <w:sz w:val="24"/>
          <w:szCs w:val="24"/>
          <w:lang w:eastAsia="en-CA"/>
        </w:rPr>
        <w:t>make</w:t>
      </w:r>
      <w:r w:rsidR="00E20798">
        <w:rPr>
          <w:rFonts w:ascii="Times New Roman" w:hAnsi="Times New Roman" w:cs="Times New Roman"/>
          <w:sz w:val="24"/>
          <w:szCs w:val="24"/>
          <w:lang w:eastAsia="en-CA"/>
        </w:rPr>
        <w:t xml:space="preserve"> their </w:t>
      </w:r>
      <w:r w:rsidR="006D7CE4">
        <w:rPr>
          <w:rFonts w:ascii="Times New Roman" w:hAnsi="Times New Roman" w:cs="Times New Roman"/>
          <w:sz w:val="24"/>
          <w:szCs w:val="24"/>
          <w:lang w:eastAsia="en-CA"/>
        </w:rPr>
        <w:t>reasons</w:t>
      </w:r>
      <w:r w:rsidR="00E20798">
        <w:rPr>
          <w:rFonts w:ascii="Times New Roman" w:hAnsi="Times New Roman" w:cs="Times New Roman"/>
          <w:sz w:val="24"/>
          <w:szCs w:val="24"/>
          <w:lang w:eastAsia="en-CA"/>
        </w:rPr>
        <w:t xml:space="preserve"> heard.</w:t>
      </w:r>
    </w:p>
    <w:p w:rsidR="002B11B9" w:rsidRDefault="002B11B9" w:rsidP="00884048">
      <w:pPr>
        <w:pStyle w:val="Heading4"/>
        <w:numPr>
          <w:ilvl w:val="0"/>
          <w:numId w:val="8"/>
        </w:numPr>
        <w:jc w:val="both"/>
        <w:rPr>
          <w:lang w:eastAsia="en-CA"/>
        </w:rPr>
      </w:pPr>
      <w:r>
        <w:rPr>
          <w:lang w:eastAsia="en-CA"/>
        </w:rPr>
        <w:t>P</w:t>
      </w:r>
      <w:r w:rsidR="0066308D">
        <w:rPr>
          <w:lang w:eastAsia="en-CA"/>
        </w:rPr>
        <w:t>ublic Consultations</w:t>
      </w:r>
      <w:r>
        <w:rPr>
          <w:lang w:eastAsia="en-CA"/>
        </w:rPr>
        <w:t xml:space="preserve">, </w:t>
      </w:r>
      <w:r w:rsidR="00D43440">
        <w:rPr>
          <w:lang w:eastAsia="en-CA"/>
        </w:rPr>
        <w:t xml:space="preserve">Standard and </w:t>
      </w:r>
      <w:r>
        <w:rPr>
          <w:lang w:eastAsia="en-CA"/>
        </w:rPr>
        <w:t>Statute Review</w:t>
      </w:r>
    </w:p>
    <w:p w:rsidR="0066308D" w:rsidRDefault="0066308D">
      <w:pPr>
        <w:spacing w:after="0"/>
        <w:jc w:val="both"/>
        <w:rPr>
          <w:rFonts w:ascii="Times New Roman" w:hAnsi="Times New Roman"/>
          <w:sz w:val="24"/>
        </w:rPr>
      </w:pPr>
      <w:r>
        <w:rPr>
          <w:rFonts w:ascii="Times New Roman" w:hAnsi="Times New Roman"/>
          <w:sz w:val="24"/>
        </w:rPr>
        <w:t>Reviews of the</w:t>
      </w:r>
      <w:r w:rsidR="00D43440" w:rsidRPr="00D43440">
        <w:rPr>
          <w:rFonts w:ascii="Times New Roman" w:hAnsi="Times New Roman"/>
          <w:sz w:val="24"/>
        </w:rPr>
        <w:t xml:space="preserve"> </w:t>
      </w:r>
      <w:r w:rsidR="00D43440">
        <w:rPr>
          <w:rFonts w:ascii="Times New Roman" w:hAnsi="Times New Roman"/>
          <w:sz w:val="24"/>
        </w:rPr>
        <w:t>standards</w:t>
      </w:r>
      <w:r>
        <w:rPr>
          <w:rFonts w:ascii="Times New Roman" w:hAnsi="Times New Roman"/>
          <w:sz w:val="24"/>
        </w:rPr>
        <w:t xml:space="preserve"> and the</w:t>
      </w:r>
      <w:r w:rsidR="00D43440" w:rsidRPr="00D43440">
        <w:rPr>
          <w:rFonts w:ascii="Times New Roman" w:hAnsi="Times New Roman"/>
          <w:sz w:val="24"/>
        </w:rPr>
        <w:t xml:space="preserve"> </w:t>
      </w:r>
      <w:r w:rsidR="00D43440">
        <w:rPr>
          <w:rFonts w:ascii="Times New Roman" w:hAnsi="Times New Roman"/>
          <w:sz w:val="24"/>
        </w:rPr>
        <w:t>statute</w:t>
      </w:r>
      <w:r>
        <w:rPr>
          <w:rFonts w:ascii="Times New Roman" w:hAnsi="Times New Roman"/>
          <w:sz w:val="24"/>
        </w:rPr>
        <w:t xml:space="preserve"> designed pursuant to them offer additional opportunities for citizen participation to enhance the social inclusion of persons with disabilities. </w:t>
      </w:r>
    </w:p>
    <w:p w:rsidR="0066308D" w:rsidRDefault="0066308D" w:rsidP="00884048">
      <w:pPr>
        <w:spacing w:after="0"/>
        <w:jc w:val="both"/>
        <w:rPr>
          <w:rFonts w:ascii="Times New Roman" w:hAnsi="Times New Roman"/>
          <w:sz w:val="24"/>
        </w:rPr>
      </w:pPr>
    </w:p>
    <w:p w:rsidR="00D43440" w:rsidRDefault="00BD052D">
      <w:pPr>
        <w:spacing w:after="0"/>
        <w:jc w:val="both"/>
        <w:rPr>
          <w:rFonts w:ascii="Times New Roman" w:hAnsi="Times New Roman"/>
          <w:sz w:val="24"/>
        </w:rPr>
      </w:pPr>
      <w:r>
        <w:rPr>
          <w:rFonts w:ascii="Times New Roman" w:hAnsi="Times New Roman"/>
          <w:sz w:val="24"/>
        </w:rPr>
        <w:t xml:space="preserve">According to government documents, a review of each accessibility standard will be conducted once every five years from the date of enactment by the </w:t>
      </w:r>
      <w:r w:rsidR="00117274">
        <w:rPr>
          <w:rFonts w:ascii="Times New Roman" w:hAnsi="Times New Roman"/>
          <w:sz w:val="24"/>
        </w:rPr>
        <w:t>AAC</w:t>
      </w:r>
      <w:r>
        <w:rPr>
          <w:rFonts w:ascii="Times New Roman" w:hAnsi="Times New Roman"/>
          <w:sz w:val="24"/>
        </w:rPr>
        <w:t>.</w:t>
      </w:r>
      <w:r>
        <w:rPr>
          <w:rStyle w:val="FootnoteReference"/>
          <w:rFonts w:ascii="Times New Roman" w:hAnsi="Times New Roman"/>
          <w:sz w:val="24"/>
        </w:rPr>
        <w:footnoteReference w:id="64"/>
      </w:r>
      <w:r>
        <w:rPr>
          <w:rFonts w:ascii="Times New Roman" w:hAnsi="Times New Roman"/>
          <w:sz w:val="24"/>
        </w:rPr>
        <w:t xml:space="preserve"> This review will examine how well the standard is being implemented and by whom it is being implemented.</w:t>
      </w:r>
      <w:r>
        <w:rPr>
          <w:rStyle w:val="FootnoteReference"/>
          <w:rFonts w:ascii="Times New Roman" w:hAnsi="Times New Roman"/>
          <w:sz w:val="24"/>
        </w:rPr>
        <w:footnoteReference w:id="65"/>
      </w:r>
      <w:r>
        <w:rPr>
          <w:rFonts w:ascii="Times New Roman" w:hAnsi="Times New Roman"/>
          <w:sz w:val="24"/>
        </w:rPr>
        <w:t xml:space="preserve"> The </w:t>
      </w:r>
      <w:r w:rsidR="00117274">
        <w:rPr>
          <w:rFonts w:ascii="Times New Roman" w:hAnsi="Times New Roman"/>
          <w:sz w:val="24"/>
        </w:rPr>
        <w:t xml:space="preserve">AAC </w:t>
      </w:r>
      <w:r>
        <w:rPr>
          <w:rFonts w:ascii="Times New Roman" w:hAnsi="Times New Roman"/>
          <w:sz w:val="24"/>
        </w:rPr>
        <w:t>will use this review to make recommendations</w:t>
      </w:r>
      <w:r w:rsidRPr="008C7A49">
        <w:rPr>
          <w:rFonts w:ascii="Times New Roman" w:hAnsi="Times New Roman"/>
          <w:sz w:val="24"/>
        </w:rPr>
        <w:t xml:space="preserve"> </w:t>
      </w:r>
      <w:r>
        <w:rPr>
          <w:rFonts w:ascii="Times New Roman" w:hAnsi="Times New Roman"/>
          <w:sz w:val="24"/>
        </w:rPr>
        <w:t>to the minister on updating the standard.</w:t>
      </w:r>
      <w:r>
        <w:rPr>
          <w:rStyle w:val="FootnoteReference"/>
          <w:rFonts w:ascii="Times New Roman" w:hAnsi="Times New Roman"/>
          <w:sz w:val="24"/>
        </w:rPr>
        <w:footnoteReference w:id="66"/>
      </w:r>
      <w:r w:rsidRPr="005E11DF">
        <w:rPr>
          <w:rFonts w:ascii="Times New Roman" w:hAnsi="Times New Roman"/>
          <w:sz w:val="24"/>
        </w:rPr>
        <w:t xml:space="preserve"> </w:t>
      </w:r>
      <w:r w:rsidR="00BA2699">
        <w:rPr>
          <w:rFonts w:ascii="Times New Roman" w:hAnsi="Times New Roman"/>
          <w:sz w:val="24"/>
        </w:rPr>
        <w:t>T</w:t>
      </w:r>
      <w:r w:rsidR="005F5F85">
        <w:rPr>
          <w:rFonts w:ascii="Times New Roman" w:hAnsi="Times New Roman"/>
          <w:sz w:val="24"/>
        </w:rPr>
        <w:t xml:space="preserve">he statute indicates that </w:t>
      </w:r>
      <w:r w:rsidR="00BA2699">
        <w:rPr>
          <w:rFonts w:ascii="Times New Roman" w:hAnsi="Times New Roman"/>
          <w:sz w:val="24"/>
        </w:rPr>
        <w:t>a similar</w:t>
      </w:r>
      <w:r w:rsidR="005F5F85">
        <w:rPr>
          <w:rFonts w:ascii="Times New Roman" w:hAnsi="Times New Roman"/>
          <w:sz w:val="24"/>
        </w:rPr>
        <w:t xml:space="preserve"> consultation process should be applied in reviewing the standard as </w:t>
      </w:r>
      <w:r w:rsidR="005A3DD9">
        <w:rPr>
          <w:rFonts w:ascii="Times New Roman" w:hAnsi="Times New Roman"/>
          <w:sz w:val="24"/>
        </w:rPr>
        <w:t>is</w:t>
      </w:r>
      <w:r w:rsidR="00090748">
        <w:rPr>
          <w:rFonts w:ascii="Times New Roman" w:hAnsi="Times New Roman"/>
          <w:sz w:val="24"/>
        </w:rPr>
        <w:t xml:space="preserve"> </w:t>
      </w:r>
      <w:r w:rsidR="00BA2699">
        <w:rPr>
          <w:rFonts w:ascii="Times New Roman" w:hAnsi="Times New Roman"/>
          <w:sz w:val="24"/>
        </w:rPr>
        <w:t xml:space="preserve">applied </w:t>
      </w:r>
      <w:r w:rsidR="005F5F85">
        <w:rPr>
          <w:rFonts w:ascii="Times New Roman" w:hAnsi="Times New Roman"/>
          <w:sz w:val="24"/>
        </w:rPr>
        <w:t>in creating the standard.</w:t>
      </w:r>
      <w:r w:rsidR="005F5F85">
        <w:rPr>
          <w:rStyle w:val="FootnoteReference"/>
          <w:rFonts w:ascii="Times New Roman" w:hAnsi="Times New Roman"/>
          <w:sz w:val="24"/>
        </w:rPr>
        <w:footnoteReference w:id="67"/>
      </w:r>
      <w:r w:rsidR="005A3DD9">
        <w:rPr>
          <w:rFonts w:ascii="Times New Roman" w:hAnsi="Times New Roman"/>
          <w:sz w:val="24"/>
        </w:rPr>
        <w:t xml:space="preserve"> This means that stakeholders from within the community of persons disabled by barriers, members of industry and of government will be invited to consult. </w:t>
      </w:r>
      <w:r>
        <w:rPr>
          <w:rFonts w:ascii="Times New Roman" w:hAnsi="Times New Roman"/>
          <w:sz w:val="24"/>
        </w:rPr>
        <w:t xml:space="preserve">Involving the public and relying on the dispersed knowledge of citizens in these reviews is one way that the process benefits and ensures </w:t>
      </w:r>
      <w:r w:rsidR="00D43440">
        <w:rPr>
          <w:rFonts w:ascii="Times New Roman" w:hAnsi="Times New Roman"/>
          <w:sz w:val="24"/>
        </w:rPr>
        <w:t>a widespread</w:t>
      </w:r>
      <w:r>
        <w:rPr>
          <w:rFonts w:ascii="Times New Roman" w:hAnsi="Times New Roman"/>
          <w:sz w:val="24"/>
        </w:rPr>
        <w:t xml:space="preserve"> response for improving the regulatory standards. </w:t>
      </w:r>
    </w:p>
    <w:p w:rsidR="00D43440" w:rsidRDefault="00D43440">
      <w:pPr>
        <w:spacing w:after="0"/>
        <w:jc w:val="both"/>
        <w:rPr>
          <w:rFonts w:ascii="Times New Roman" w:hAnsi="Times New Roman"/>
          <w:sz w:val="24"/>
        </w:rPr>
      </w:pPr>
    </w:p>
    <w:p w:rsidR="00D43440" w:rsidRDefault="00D43440">
      <w:pPr>
        <w:spacing w:after="0"/>
        <w:jc w:val="both"/>
        <w:rPr>
          <w:rFonts w:ascii="Times New Roman" w:hAnsi="Times New Roman"/>
          <w:sz w:val="24"/>
        </w:rPr>
      </w:pPr>
      <w:r>
        <w:rPr>
          <w:rFonts w:ascii="Times New Roman" w:hAnsi="Times New Roman"/>
          <w:sz w:val="24"/>
        </w:rPr>
        <w:t>According to the legislation, a review of the effectiveness of the AMA is to be conducted within four years of it coming into force, and a subsequent review is to be conducted five years after that.</w:t>
      </w:r>
      <w:r>
        <w:rPr>
          <w:rStyle w:val="FootnoteReference"/>
          <w:rFonts w:ascii="Times New Roman" w:hAnsi="Times New Roman"/>
          <w:sz w:val="24"/>
        </w:rPr>
        <w:footnoteReference w:id="68"/>
      </w:r>
      <w:r>
        <w:rPr>
          <w:rFonts w:ascii="Times New Roman" w:hAnsi="Times New Roman"/>
          <w:sz w:val="24"/>
        </w:rPr>
        <w:t xml:space="preserve"> The review must involve consultations “with the public, in particular, with persons disabled by barriers or representatives from organizations of persons disabled by barriers”</w:t>
      </w:r>
      <w:r>
        <w:rPr>
          <w:rStyle w:val="FootnoteReference"/>
          <w:rFonts w:ascii="Times New Roman" w:hAnsi="Times New Roman"/>
          <w:sz w:val="24"/>
        </w:rPr>
        <w:footnoteReference w:id="69"/>
      </w:r>
      <w:r>
        <w:rPr>
          <w:rFonts w:ascii="Times New Roman" w:hAnsi="Times New Roman"/>
          <w:sz w:val="24"/>
        </w:rPr>
        <w:t xml:space="preserve"> Once the comprehensive review is complete, a report is to be submitted that may include recommendations for improving the Act.</w:t>
      </w:r>
      <w:r>
        <w:rPr>
          <w:rStyle w:val="FootnoteReference"/>
          <w:rFonts w:ascii="Times New Roman" w:hAnsi="Times New Roman"/>
          <w:sz w:val="24"/>
        </w:rPr>
        <w:footnoteReference w:id="70"/>
      </w:r>
      <w:r>
        <w:rPr>
          <w:rFonts w:ascii="Times New Roman" w:hAnsi="Times New Roman"/>
          <w:sz w:val="24"/>
        </w:rPr>
        <w:t xml:space="preserve"> </w:t>
      </w:r>
    </w:p>
    <w:p w:rsidR="00E20798" w:rsidRDefault="00E20798">
      <w:pPr>
        <w:spacing w:after="0"/>
        <w:jc w:val="both"/>
        <w:rPr>
          <w:rFonts w:ascii="Times New Roman" w:hAnsi="Times New Roman"/>
          <w:sz w:val="24"/>
        </w:rPr>
      </w:pPr>
    </w:p>
    <w:p w:rsidR="00BD052D" w:rsidRDefault="00BD052D">
      <w:pPr>
        <w:spacing w:after="0"/>
        <w:jc w:val="both"/>
        <w:rPr>
          <w:rFonts w:ascii="Times New Roman" w:hAnsi="Times New Roman"/>
          <w:sz w:val="24"/>
        </w:rPr>
      </w:pPr>
      <w:r>
        <w:rPr>
          <w:rFonts w:ascii="Times New Roman" w:hAnsi="Times New Roman"/>
          <w:sz w:val="24"/>
        </w:rPr>
        <w:t xml:space="preserve">It is </w:t>
      </w:r>
      <w:r w:rsidR="00D43440">
        <w:rPr>
          <w:rFonts w:ascii="Times New Roman" w:hAnsi="Times New Roman"/>
          <w:sz w:val="24"/>
        </w:rPr>
        <w:t xml:space="preserve">a </w:t>
      </w:r>
      <w:r>
        <w:rPr>
          <w:rFonts w:ascii="Times New Roman" w:hAnsi="Times New Roman"/>
          <w:sz w:val="24"/>
        </w:rPr>
        <w:t>particularly interesting and a unique feature of the statute that the review of the statute focuses primarily on consultation with persons with disabilities. This is the one place in the statute where other stakeholders such as businesses and government are not highlighted as required consultees. The step shows an effort on the part of the drafters to ensure that those who are to benefit from the Act have the chance to express their evaluations of how effective the Act is.</w:t>
      </w:r>
    </w:p>
    <w:p w:rsidR="006D7CE4" w:rsidRDefault="006D7CE4">
      <w:pPr>
        <w:spacing w:after="0"/>
        <w:jc w:val="both"/>
        <w:rPr>
          <w:rFonts w:ascii="Times New Roman" w:hAnsi="Times New Roman"/>
          <w:sz w:val="24"/>
        </w:rPr>
      </w:pPr>
    </w:p>
    <w:p w:rsidR="00BD052D" w:rsidRPr="00884048" w:rsidRDefault="00BD052D" w:rsidP="00884048">
      <w:pPr>
        <w:pStyle w:val="Heading2"/>
        <w:numPr>
          <w:ilvl w:val="0"/>
          <w:numId w:val="1"/>
        </w:numPr>
        <w:jc w:val="both"/>
        <w:rPr>
          <w:rFonts w:ascii="Times New Roman" w:hAnsi="Times New Roman" w:cs="Times New Roman"/>
          <w:sz w:val="24"/>
          <w:szCs w:val="24"/>
          <w:lang w:eastAsia="en-CA"/>
        </w:rPr>
      </w:pPr>
      <w:r w:rsidRPr="00A859DE">
        <w:rPr>
          <w:lang w:eastAsia="en-CA"/>
        </w:rPr>
        <w:lastRenderedPageBreak/>
        <w:t>Enforcement</w:t>
      </w:r>
      <w:r>
        <w:rPr>
          <w:lang w:eastAsia="en-CA"/>
        </w:rPr>
        <w:t xml:space="preserve"> a</w:t>
      </w:r>
      <w:r w:rsidRPr="00A859DE">
        <w:rPr>
          <w:lang w:eastAsia="en-CA"/>
        </w:rPr>
        <w:t xml:space="preserve">nd </w:t>
      </w:r>
      <w:r>
        <w:rPr>
          <w:lang w:eastAsia="en-CA"/>
        </w:rPr>
        <w:t xml:space="preserve">Compliance </w:t>
      </w:r>
    </w:p>
    <w:p w:rsidR="00BD052D" w:rsidRDefault="00BD052D">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Once a standard has been developed, enforcement will be the true test of its ability to effect social change. At the time of writing, no enforcement activity had yet been taken by the government office responsible for enforcement and compliance in Manitoba.</w:t>
      </w:r>
      <w:r>
        <w:rPr>
          <w:rStyle w:val="FootnoteReference"/>
          <w:rFonts w:ascii="Times New Roman" w:hAnsi="Times New Roman" w:cs="Times New Roman"/>
          <w:sz w:val="24"/>
          <w:szCs w:val="24"/>
          <w:lang w:eastAsia="en-CA"/>
        </w:rPr>
        <w:footnoteReference w:id="71"/>
      </w:r>
      <w:r>
        <w:rPr>
          <w:rFonts w:ascii="Times New Roman" w:hAnsi="Times New Roman" w:cs="Times New Roman"/>
          <w:sz w:val="24"/>
          <w:szCs w:val="24"/>
          <w:lang w:eastAsia="en-CA"/>
        </w:rPr>
        <w:t xml:space="preserve"> There have been significant challenges relating to enforcement and compliance</w:t>
      </w:r>
      <w:r w:rsidR="00FB712D">
        <w:rPr>
          <w:rFonts w:ascii="Times New Roman" w:hAnsi="Times New Roman" w:cs="Times New Roman"/>
          <w:sz w:val="24"/>
          <w:szCs w:val="24"/>
          <w:lang w:eastAsia="en-CA"/>
        </w:rPr>
        <w:t xml:space="preserve"> </w:t>
      </w:r>
      <w:r>
        <w:rPr>
          <w:rFonts w:ascii="Times New Roman" w:hAnsi="Times New Roman" w:cs="Times New Roman"/>
          <w:sz w:val="24"/>
          <w:szCs w:val="24"/>
          <w:lang w:eastAsia="en-CA"/>
        </w:rPr>
        <w:t>in the pioneer province of Ontario. The province of Manitoba and future provinces enacting accessibility legislation will be wise to draw lessons from these challenges. The challenges relate primarily to holding government to its obligation of enforcing the standards once the standards are in place. There is also a second challenge of preventing government from reducing the protections provided under the legislation through its discretionary pockets of power.</w:t>
      </w:r>
    </w:p>
    <w:p w:rsidR="00BD052D" w:rsidRDefault="00BD052D">
      <w:pPr>
        <w:spacing w:after="0" w:line="240" w:lineRule="auto"/>
        <w:jc w:val="both"/>
        <w:rPr>
          <w:rFonts w:ascii="Times New Roman" w:hAnsi="Times New Roman" w:cs="Times New Roman"/>
          <w:sz w:val="24"/>
          <w:szCs w:val="24"/>
          <w:lang w:eastAsia="en-CA"/>
        </w:rPr>
      </w:pPr>
    </w:p>
    <w:p w:rsidR="00BD052D" w:rsidRPr="00D3581C" w:rsidRDefault="00BD052D">
      <w:pPr>
        <w:jc w:val="both"/>
        <w:rPr>
          <w:rFonts w:ascii="Times New Roman" w:hAnsi="Times New Roman" w:cs="Times New Roman"/>
          <w:sz w:val="24"/>
          <w:szCs w:val="24"/>
          <w:lang w:eastAsia="en-CA"/>
        </w:rPr>
      </w:pPr>
      <w:r>
        <w:rPr>
          <w:rFonts w:ascii="Times New Roman" w:hAnsi="Times New Roman" w:cs="Times New Roman"/>
          <w:sz w:val="24"/>
          <w:szCs w:val="24"/>
          <w:lang w:eastAsia="en-CA"/>
        </w:rPr>
        <w:t xml:space="preserve">The statute organizes enforcement around voluntary compliance followed by government  inspections and penalties. Persons </w:t>
      </w:r>
      <w:r w:rsidRPr="00D3581C">
        <w:rPr>
          <w:rFonts w:ascii="Times New Roman" w:hAnsi="Times New Roman" w:cs="Times New Roman"/>
          <w:sz w:val="24"/>
          <w:szCs w:val="24"/>
          <w:lang w:eastAsia="en-CA"/>
        </w:rPr>
        <w:t xml:space="preserve">or organizations that are subject to the </w:t>
      </w:r>
      <w:r w:rsidR="005439BD" w:rsidRPr="00D3581C">
        <w:rPr>
          <w:rFonts w:ascii="Times New Roman" w:hAnsi="Times New Roman" w:cs="Times New Roman"/>
          <w:sz w:val="24"/>
          <w:szCs w:val="24"/>
          <w:lang w:eastAsia="en-CA"/>
        </w:rPr>
        <w:t>AMA</w:t>
      </w:r>
      <w:r w:rsidR="005439BD">
        <w:rPr>
          <w:rFonts w:ascii="Times New Roman" w:hAnsi="Times New Roman" w:cs="Times New Roman"/>
          <w:sz w:val="24"/>
          <w:szCs w:val="24"/>
          <w:lang w:eastAsia="en-CA"/>
        </w:rPr>
        <w:t>’s</w:t>
      </w:r>
      <w:r w:rsidR="005439BD" w:rsidRPr="00D3581C">
        <w:rPr>
          <w:rFonts w:ascii="Times New Roman" w:hAnsi="Times New Roman" w:cs="Times New Roman"/>
          <w:sz w:val="24"/>
          <w:szCs w:val="24"/>
          <w:lang w:eastAsia="en-CA"/>
        </w:rPr>
        <w:t xml:space="preserve"> </w:t>
      </w:r>
      <w:r w:rsidRPr="00D3581C">
        <w:rPr>
          <w:rFonts w:ascii="Times New Roman" w:hAnsi="Times New Roman" w:cs="Times New Roman"/>
          <w:sz w:val="24"/>
          <w:szCs w:val="24"/>
          <w:lang w:eastAsia="en-CA"/>
        </w:rPr>
        <w:t xml:space="preserve">accessibility standards </w:t>
      </w:r>
      <w:r>
        <w:rPr>
          <w:rFonts w:ascii="Times New Roman" w:hAnsi="Times New Roman" w:cs="Times New Roman"/>
          <w:sz w:val="24"/>
          <w:szCs w:val="24"/>
          <w:lang w:eastAsia="en-CA"/>
        </w:rPr>
        <w:t>“</w:t>
      </w:r>
      <w:r w:rsidRPr="00D3581C">
        <w:rPr>
          <w:rFonts w:ascii="Times New Roman" w:hAnsi="Times New Roman" w:cs="Times New Roman"/>
          <w:sz w:val="24"/>
          <w:szCs w:val="24"/>
          <w:lang w:eastAsia="en-CA"/>
        </w:rPr>
        <w:t xml:space="preserve">must </w:t>
      </w:r>
      <w:r>
        <w:rPr>
          <w:rFonts w:ascii="Times New Roman" w:hAnsi="Times New Roman" w:cs="Times New Roman"/>
          <w:sz w:val="24"/>
          <w:szCs w:val="24"/>
          <w:lang w:eastAsia="en-CA"/>
        </w:rPr>
        <w:t xml:space="preserve">comply with the standard </w:t>
      </w:r>
      <w:r w:rsidRPr="00D3581C">
        <w:rPr>
          <w:rFonts w:ascii="Times New Roman" w:hAnsi="Times New Roman" w:cs="Times New Roman"/>
          <w:sz w:val="24"/>
          <w:szCs w:val="24"/>
          <w:lang w:eastAsia="en-CA"/>
        </w:rPr>
        <w:t>within the time period specified in the standard.</w:t>
      </w:r>
      <w:r>
        <w:rPr>
          <w:rFonts w:ascii="Times New Roman" w:hAnsi="Times New Roman" w:cs="Times New Roman"/>
          <w:sz w:val="24"/>
          <w:szCs w:val="24"/>
          <w:lang w:eastAsia="en-CA"/>
        </w:rPr>
        <w:t>”</w:t>
      </w:r>
      <w:r>
        <w:rPr>
          <w:rStyle w:val="FootnoteReference"/>
          <w:rFonts w:ascii="Times New Roman" w:hAnsi="Times New Roman" w:cs="Times New Roman"/>
          <w:sz w:val="24"/>
          <w:szCs w:val="24"/>
          <w:lang w:eastAsia="en-CA"/>
        </w:rPr>
        <w:footnoteReference w:id="72"/>
      </w:r>
      <w:r w:rsidRPr="00D3581C">
        <w:rPr>
          <w:rFonts w:ascii="Times New Roman" w:hAnsi="Times New Roman" w:cs="Times New Roman"/>
          <w:sz w:val="24"/>
          <w:szCs w:val="24"/>
          <w:lang w:eastAsia="en-CA"/>
        </w:rPr>
        <w:t xml:space="preserve"> </w:t>
      </w:r>
      <w:r>
        <w:rPr>
          <w:rFonts w:ascii="Times New Roman" w:hAnsi="Times New Roman" w:cs="Times New Roman"/>
          <w:sz w:val="24"/>
          <w:szCs w:val="24"/>
        </w:rPr>
        <w:t xml:space="preserve">Several accessibility standards can apply </w:t>
      </w:r>
      <w:r w:rsidRPr="001F23C2">
        <w:rPr>
          <w:rFonts w:ascii="Times New Roman" w:hAnsi="Times New Roman" w:cs="Times New Roman"/>
          <w:sz w:val="24"/>
          <w:szCs w:val="24"/>
        </w:rPr>
        <w:t>simultaneously</w:t>
      </w:r>
      <w:r>
        <w:rPr>
          <w:rFonts w:ascii="Times New Roman" w:hAnsi="Times New Roman" w:cs="Times New Roman"/>
          <w:sz w:val="24"/>
          <w:szCs w:val="24"/>
        </w:rPr>
        <w:t xml:space="preserve"> to a person or organization or to an aspect of the built environment. An accessibility standard may also be general or specific in its application and limited as to time and place.</w:t>
      </w:r>
      <w:r>
        <w:rPr>
          <w:rStyle w:val="FootnoteReference"/>
          <w:rFonts w:ascii="Times New Roman" w:hAnsi="Times New Roman" w:cs="Times New Roman"/>
          <w:sz w:val="24"/>
          <w:szCs w:val="24"/>
        </w:rPr>
        <w:footnoteReference w:id="73"/>
      </w:r>
      <w:r>
        <w:rPr>
          <w:rFonts w:ascii="Times New Roman" w:hAnsi="Times New Roman" w:cs="Times New Roman"/>
          <w:sz w:val="24"/>
          <w:szCs w:val="24"/>
        </w:rPr>
        <w:t xml:space="preserve"> </w:t>
      </w:r>
      <w:r w:rsidRPr="00D3581C">
        <w:rPr>
          <w:rFonts w:ascii="Times New Roman" w:hAnsi="Times New Roman" w:cs="Times New Roman"/>
          <w:sz w:val="24"/>
          <w:szCs w:val="24"/>
          <w:lang w:eastAsia="en-CA"/>
        </w:rPr>
        <w:t xml:space="preserve">In terms of conflict, if there is a provision in the Act or the regulations </w:t>
      </w:r>
      <w:r w:rsidR="00FB712D">
        <w:rPr>
          <w:rFonts w:ascii="Times New Roman" w:hAnsi="Times New Roman" w:cs="Times New Roman"/>
          <w:sz w:val="24"/>
          <w:szCs w:val="24"/>
          <w:lang w:eastAsia="en-CA"/>
        </w:rPr>
        <w:t>(including the standards)</w:t>
      </w:r>
      <w:r w:rsidR="00FB712D" w:rsidRPr="00D3581C">
        <w:rPr>
          <w:rFonts w:ascii="Times New Roman" w:hAnsi="Times New Roman" w:cs="Times New Roman"/>
          <w:sz w:val="24"/>
          <w:szCs w:val="24"/>
          <w:lang w:eastAsia="en-CA"/>
        </w:rPr>
        <w:t xml:space="preserve"> </w:t>
      </w:r>
      <w:r w:rsidRPr="00D3581C">
        <w:rPr>
          <w:rFonts w:ascii="Times New Roman" w:hAnsi="Times New Roman" w:cs="Times New Roman"/>
          <w:sz w:val="24"/>
          <w:szCs w:val="24"/>
          <w:lang w:eastAsia="en-CA"/>
        </w:rPr>
        <w:t xml:space="preserve">that conflicts with a provision of any other enactment, </w:t>
      </w:r>
      <w:r>
        <w:rPr>
          <w:rFonts w:ascii="Times New Roman" w:hAnsi="Times New Roman" w:cs="Times New Roman"/>
          <w:sz w:val="24"/>
          <w:szCs w:val="24"/>
          <w:lang w:eastAsia="en-CA"/>
        </w:rPr>
        <w:t>“</w:t>
      </w:r>
      <w:r w:rsidRPr="00D3581C">
        <w:rPr>
          <w:rFonts w:ascii="Times New Roman" w:hAnsi="Times New Roman" w:cs="Times New Roman"/>
          <w:sz w:val="24"/>
          <w:szCs w:val="24"/>
          <w:lang w:eastAsia="en-CA"/>
        </w:rPr>
        <w:t>the provision of this Act or the regulations prevails unless the other enactment provides a higher level of accessibility fo</w:t>
      </w:r>
      <w:r>
        <w:rPr>
          <w:rFonts w:ascii="Times New Roman" w:hAnsi="Times New Roman" w:cs="Times New Roman"/>
          <w:sz w:val="24"/>
          <w:szCs w:val="24"/>
          <w:lang w:eastAsia="en-CA"/>
        </w:rPr>
        <w:t>r persons disabled by barriers.”</w:t>
      </w:r>
      <w:r>
        <w:rPr>
          <w:rStyle w:val="FootnoteReference"/>
          <w:rFonts w:ascii="Times New Roman" w:hAnsi="Times New Roman" w:cs="Times New Roman"/>
          <w:sz w:val="24"/>
          <w:szCs w:val="24"/>
          <w:lang w:eastAsia="en-CA"/>
        </w:rPr>
        <w:footnoteReference w:id="74"/>
      </w:r>
      <w:r w:rsidRPr="00D3581C">
        <w:rPr>
          <w:rFonts w:ascii="Times New Roman" w:hAnsi="Times New Roman" w:cs="Times New Roman"/>
          <w:sz w:val="24"/>
          <w:szCs w:val="24"/>
          <w:lang w:eastAsia="en-CA"/>
        </w:rPr>
        <w:t xml:space="preserve"> </w:t>
      </w:r>
      <w:r>
        <w:rPr>
          <w:rFonts w:ascii="Times New Roman" w:hAnsi="Times New Roman" w:cs="Times New Roman"/>
          <w:sz w:val="24"/>
          <w:szCs w:val="24"/>
          <w:lang w:eastAsia="en-CA"/>
        </w:rPr>
        <w:t xml:space="preserve">Presumably, this would apply if there are conflicts between the </w:t>
      </w:r>
      <w:r w:rsidR="00FB712D">
        <w:rPr>
          <w:rFonts w:ascii="Times New Roman" w:hAnsi="Times New Roman" w:cs="Times New Roman"/>
          <w:sz w:val="24"/>
          <w:szCs w:val="24"/>
          <w:lang w:eastAsia="en-CA"/>
        </w:rPr>
        <w:t xml:space="preserve">standards </w:t>
      </w:r>
      <w:r>
        <w:rPr>
          <w:rFonts w:ascii="Times New Roman" w:hAnsi="Times New Roman" w:cs="Times New Roman"/>
          <w:sz w:val="24"/>
          <w:szCs w:val="24"/>
          <w:lang w:eastAsia="en-CA"/>
        </w:rPr>
        <w:t>as well.</w:t>
      </w:r>
    </w:p>
    <w:p w:rsidR="00BD052D" w:rsidRPr="00D3581C" w:rsidRDefault="00BD052D">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 xml:space="preserve">Inspectors are appointed by the responsible minister. The role of an inspector is to </w:t>
      </w:r>
      <w:r w:rsidR="004F32A8">
        <w:rPr>
          <w:rFonts w:ascii="Times New Roman" w:hAnsi="Times New Roman" w:cs="Times New Roman"/>
          <w:sz w:val="24"/>
          <w:szCs w:val="24"/>
          <w:lang w:eastAsia="en-CA"/>
        </w:rPr>
        <w:t>“</w:t>
      </w:r>
      <w:r w:rsidRPr="00D3581C">
        <w:rPr>
          <w:rFonts w:ascii="Times New Roman" w:hAnsi="Times New Roman" w:cs="Times New Roman"/>
          <w:sz w:val="24"/>
          <w:szCs w:val="24"/>
          <w:lang w:eastAsia="en-CA"/>
        </w:rPr>
        <w:t>determine compliance with the AMA or the regulations; verify the accuracy or completeness of information provided</w:t>
      </w:r>
      <w:r>
        <w:rPr>
          <w:rFonts w:ascii="Times New Roman" w:hAnsi="Times New Roman" w:cs="Times New Roman"/>
          <w:sz w:val="24"/>
          <w:szCs w:val="24"/>
          <w:lang w:eastAsia="en-CA"/>
        </w:rPr>
        <w:t xml:space="preserve"> or</w:t>
      </w:r>
      <w:r w:rsidRPr="00D3581C">
        <w:rPr>
          <w:rFonts w:ascii="Times New Roman" w:hAnsi="Times New Roman" w:cs="Times New Roman"/>
          <w:sz w:val="24"/>
          <w:szCs w:val="24"/>
          <w:lang w:eastAsia="en-CA"/>
        </w:rPr>
        <w:t xml:space="preserve"> perform any other duty or function that the director or inspector considers necessary or advisable to administer or enforce the Act and the regulations.</w:t>
      </w:r>
      <w:r>
        <w:rPr>
          <w:rFonts w:ascii="Times New Roman" w:hAnsi="Times New Roman" w:cs="Times New Roman"/>
          <w:sz w:val="24"/>
          <w:szCs w:val="24"/>
          <w:lang w:eastAsia="en-CA"/>
        </w:rPr>
        <w:t>”</w:t>
      </w:r>
      <w:r>
        <w:rPr>
          <w:rStyle w:val="FootnoteReference"/>
          <w:rFonts w:ascii="Times New Roman" w:hAnsi="Times New Roman" w:cs="Times New Roman"/>
          <w:sz w:val="24"/>
          <w:szCs w:val="24"/>
          <w:lang w:eastAsia="en-CA"/>
        </w:rPr>
        <w:footnoteReference w:id="75"/>
      </w:r>
      <w:r w:rsidRPr="00D3581C">
        <w:rPr>
          <w:rFonts w:ascii="Times New Roman" w:hAnsi="Times New Roman" w:cs="Times New Roman"/>
          <w:sz w:val="24"/>
          <w:szCs w:val="24"/>
          <w:lang w:eastAsia="en-CA"/>
        </w:rPr>
        <w:t xml:space="preserve"> </w:t>
      </w:r>
      <w:r w:rsidR="00FB712D">
        <w:rPr>
          <w:rFonts w:ascii="Times New Roman" w:hAnsi="Times New Roman" w:cs="Times New Roman"/>
          <w:sz w:val="24"/>
          <w:szCs w:val="24"/>
          <w:lang w:eastAsia="en-CA"/>
        </w:rPr>
        <w:t>Under the AMA, i</w:t>
      </w:r>
      <w:r>
        <w:rPr>
          <w:rFonts w:ascii="Times New Roman" w:hAnsi="Times New Roman" w:cs="Times New Roman"/>
          <w:sz w:val="24"/>
          <w:szCs w:val="24"/>
          <w:lang w:eastAsia="en-CA"/>
        </w:rPr>
        <w:t>nspectors have wide powers of entry and search even without a warrant.</w:t>
      </w:r>
      <w:r w:rsidR="00FB712D">
        <w:rPr>
          <w:rStyle w:val="FootnoteReference"/>
          <w:rFonts w:ascii="Times New Roman" w:hAnsi="Times New Roman" w:cs="Times New Roman"/>
          <w:sz w:val="24"/>
          <w:szCs w:val="24"/>
          <w:lang w:eastAsia="en-CA"/>
        </w:rPr>
        <w:footnoteReference w:id="76"/>
      </w:r>
      <w:r>
        <w:rPr>
          <w:rFonts w:ascii="Times New Roman" w:hAnsi="Times New Roman" w:cs="Times New Roman"/>
          <w:sz w:val="24"/>
          <w:szCs w:val="24"/>
          <w:lang w:eastAsia="en-CA"/>
        </w:rPr>
        <w:t xml:space="preserve"> </w:t>
      </w:r>
      <w:r w:rsidRPr="00D3581C">
        <w:rPr>
          <w:rFonts w:ascii="Times New Roman" w:hAnsi="Times New Roman" w:cs="Times New Roman"/>
          <w:sz w:val="24"/>
          <w:szCs w:val="24"/>
          <w:lang w:eastAsia="en-CA"/>
        </w:rPr>
        <w:t>This right of entry does not apply to residential dwellings unless</w:t>
      </w:r>
      <w:r w:rsidR="00F515F1" w:rsidRPr="00F515F1">
        <w:rPr>
          <w:rFonts w:ascii="Times New Roman" w:hAnsi="Times New Roman" w:cs="Times New Roman"/>
          <w:sz w:val="24"/>
          <w:szCs w:val="24"/>
          <w:lang w:eastAsia="en-CA"/>
        </w:rPr>
        <w:t xml:space="preserve"> </w:t>
      </w:r>
      <w:r w:rsidR="00F515F1">
        <w:rPr>
          <w:rFonts w:ascii="Times New Roman" w:hAnsi="Times New Roman" w:cs="Times New Roman"/>
          <w:sz w:val="24"/>
          <w:szCs w:val="24"/>
          <w:lang w:eastAsia="en-CA"/>
        </w:rPr>
        <w:t>the owner or occupant ha</w:t>
      </w:r>
      <w:r w:rsidR="00F515F1" w:rsidRPr="00D3581C">
        <w:rPr>
          <w:rFonts w:ascii="Times New Roman" w:hAnsi="Times New Roman" w:cs="Times New Roman"/>
          <w:sz w:val="24"/>
          <w:szCs w:val="24"/>
          <w:lang w:eastAsia="en-CA"/>
        </w:rPr>
        <w:t>s given</w:t>
      </w:r>
      <w:r w:rsidRPr="00D3581C">
        <w:rPr>
          <w:rFonts w:ascii="Times New Roman" w:hAnsi="Times New Roman" w:cs="Times New Roman"/>
          <w:sz w:val="24"/>
          <w:szCs w:val="24"/>
          <w:lang w:eastAsia="en-CA"/>
        </w:rPr>
        <w:t xml:space="preserve"> consent.</w:t>
      </w:r>
      <w:r>
        <w:rPr>
          <w:rStyle w:val="FootnoteReference"/>
          <w:rFonts w:ascii="Times New Roman" w:hAnsi="Times New Roman" w:cs="Times New Roman"/>
          <w:sz w:val="24"/>
          <w:szCs w:val="24"/>
          <w:lang w:eastAsia="en-CA"/>
        </w:rPr>
        <w:footnoteReference w:id="77"/>
      </w:r>
      <w:r w:rsidRPr="00D3581C">
        <w:rPr>
          <w:rFonts w:ascii="Times New Roman" w:hAnsi="Times New Roman" w:cs="Times New Roman"/>
          <w:sz w:val="24"/>
          <w:szCs w:val="24"/>
          <w:lang w:eastAsia="en-CA"/>
        </w:rPr>
        <w:t xml:space="preserve"> </w:t>
      </w:r>
      <w:r w:rsidR="00FB712D">
        <w:rPr>
          <w:rFonts w:ascii="Times New Roman" w:hAnsi="Times New Roman" w:cs="Times New Roman"/>
          <w:sz w:val="24"/>
          <w:szCs w:val="24"/>
          <w:lang w:eastAsia="en-CA"/>
        </w:rPr>
        <w:t>Those</w:t>
      </w:r>
      <w:r w:rsidR="00FB712D" w:rsidRPr="00D3581C">
        <w:rPr>
          <w:rFonts w:ascii="Times New Roman" w:hAnsi="Times New Roman" w:cs="Times New Roman"/>
          <w:sz w:val="24"/>
          <w:szCs w:val="24"/>
          <w:lang w:eastAsia="en-CA"/>
        </w:rPr>
        <w:t xml:space="preserve"> </w:t>
      </w:r>
      <w:r w:rsidRPr="00D3581C">
        <w:rPr>
          <w:rFonts w:ascii="Times New Roman" w:hAnsi="Times New Roman" w:cs="Times New Roman"/>
          <w:sz w:val="24"/>
          <w:szCs w:val="24"/>
          <w:lang w:eastAsia="en-CA"/>
        </w:rPr>
        <w:t>in charge of the premises being inspected must assist</w:t>
      </w:r>
      <w:r w:rsidR="0030331B">
        <w:rPr>
          <w:rFonts w:ascii="Times New Roman" w:hAnsi="Times New Roman" w:cs="Times New Roman"/>
          <w:sz w:val="24"/>
          <w:szCs w:val="24"/>
          <w:lang w:eastAsia="en-CA"/>
        </w:rPr>
        <w:t xml:space="preserve"> </w:t>
      </w:r>
      <w:r w:rsidRPr="00D3581C">
        <w:rPr>
          <w:rFonts w:ascii="Times New Roman" w:hAnsi="Times New Roman" w:cs="Times New Roman"/>
          <w:sz w:val="24"/>
          <w:szCs w:val="24"/>
          <w:lang w:eastAsia="en-CA"/>
        </w:rPr>
        <w:t>the inspector by providing whatever they need, and by answering all of the inspector’s questions.</w:t>
      </w:r>
      <w:r>
        <w:rPr>
          <w:rStyle w:val="FootnoteReference"/>
          <w:rFonts w:ascii="Times New Roman" w:hAnsi="Times New Roman" w:cs="Times New Roman"/>
          <w:sz w:val="24"/>
          <w:szCs w:val="24"/>
          <w:lang w:eastAsia="en-CA"/>
        </w:rPr>
        <w:footnoteReference w:id="78"/>
      </w:r>
      <w:r w:rsidRPr="00D3581C">
        <w:rPr>
          <w:rFonts w:ascii="Times New Roman" w:hAnsi="Times New Roman" w:cs="Times New Roman"/>
          <w:sz w:val="24"/>
          <w:szCs w:val="24"/>
          <w:lang w:eastAsia="en-CA"/>
        </w:rPr>
        <w:t xml:space="preserve"> If an inspector is denied entry to a premise </w:t>
      </w:r>
      <w:r w:rsidRPr="00D3581C">
        <w:rPr>
          <w:rFonts w:ascii="Times New Roman" w:hAnsi="Times New Roman" w:cs="Times New Roman"/>
          <w:sz w:val="24"/>
          <w:szCs w:val="24"/>
          <w:lang w:eastAsia="en-CA"/>
        </w:rPr>
        <w:lastRenderedPageBreak/>
        <w:t>subject to the Act or regulations, they can apply for a warrant without noti</w:t>
      </w:r>
      <w:r w:rsidR="00F515F1">
        <w:rPr>
          <w:rFonts w:ascii="Times New Roman" w:hAnsi="Times New Roman" w:cs="Times New Roman"/>
          <w:sz w:val="24"/>
          <w:szCs w:val="24"/>
          <w:lang w:eastAsia="en-CA"/>
        </w:rPr>
        <w:t>fying those in charge of the location</w:t>
      </w:r>
      <w:r w:rsidRPr="00D3581C">
        <w:rPr>
          <w:rFonts w:ascii="Times New Roman" w:hAnsi="Times New Roman" w:cs="Times New Roman"/>
          <w:sz w:val="24"/>
          <w:szCs w:val="24"/>
          <w:lang w:eastAsia="en-CA"/>
        </w:rPr>
        <w:t>.</w:t>
      </w:r>
      <w:r>
        <w:rPr>
          <w:rStyle w:val="FootnoteReference"/>
          <w:rFonts w:ascii="Times New Roman" w:hAnsi="Times New Roman" w:cs="Times New Roman"/>
          <w:sz w:val="24"/>
          <w:szCs w:val="24"/>
          <w:lang w:eastAsia="en-CA"/>
        </w:rPr>
        <w:footnoteReference w:id="79"/>
      </w:r>
      <w:r w:rsidRPr="00D3581C">
        <w:rPr>
          <w:rFonts w:ascii="Times New Roman" w:hAnsi="Times New Roman" w:cs="Times New Roman"/>
          <w:sz w:val="24"/>
          <w:szCs w:val="24"/>
          <w:lang w:eastAsia="en-CA"/>
        </w:rPr>
        <w:t xml:space="preserve"> </w:t>
      </w:r>
    </w:p>
    <w:p w:rsidR="00BD052D" w:rsidRPr="00D3581C" w:rsidRDefault="00BD052D">
      <w:pPr>
        <w:spacing w:after="0" w:line="240" w:lineRule="auto"/>
        <w:jc w:val="both"/>
        <w:rPr>
          <w:rFonts w:ascii="Times New Roman" w:hAnsi="Times New Roman" w:cs="Times New Roman"/>
          <w:sz w:val="24"/>
          <w:szCs w:val="24"/>
          <w:lang w:eastAsia="en-CA"/>
        </w:rPr>
      </w:pPr>
    </w:p>
    <w:p w:rsidR="00BD052D" w:rsidRPr="00D3581C" w:rsidRDefault="009C6571">
      <w:pPr>
        <w:spacing w:after="0"/>
        <w:jc w:val="both"/>
        <w:rPr>
          <w:rFonts w:ascii="Times New Roman" w:hAnsi="Times New Roman" w:cs="Times New Roman"/>
          <w:sz w:val="24"/>
          <w:szCs w:val="24"/>
          <w:lang w:eastAsia="en-CA"/>
        </w:rPr>
      </w:pPr>
      <w:r>
        <w:rPr>
          <w:rFonts w:ascii="Times New Roman" w:hAnsi="Times New Roman" w:cs="Times New Roman"/>
          <w:sz w:val="24"/>
          <w:szCs w:val="24"/>
          <w:lang w:eastAsia="en-CA"/>
        </w:rPr>
        <w:t xml:space="preserve">An </w:t>
      </w:r>
      <w:r w:rsidR="003A7F97">
        <w:rPr>
          <w:rFonts w:ascii="Times New Roman" w:hAnsi="Times New Roman" w:cs="Times New Roman"/>
          <w:sz w:val="24"/>
          <w:szCs w:val="24"/>
          <w:lang w:eastAsia="en-CA"/>
        </w:rPr>
        <w:t xml:space="preserve">inspector </w:t>
      </w:r>
      <w:r>
        <w:rPr>
          <w:rFonts w:ascii="Times New Roman" w:hAnsi="Times New Roman" w:cs="Times New Roman"/>
          <w:sz w:val="24"/>
          <w:szCs w:val="24"/>
          <w:lang w:eastAsia="en-CA"/>
        </w:rPr>
        <w:t xml:space="preserve">who </w:t>
      </w:r>
      <w:r w:rsidR="003A7F97">
        <w:rPr>
          <w:rFonts w:ascii="Times New Roman" w:hAnsi="Times New Roman" w:cs="Times New Roman"/>
          <w:sz w:val="24"/>
          <w:szCs w:val="24"/>
          <w:lang w:eastAsia="en-CA"/>
        </w:rPr>
        <w:t>finds that a standard has been contravened may give a written order requiring</w:t>
      </w:r>
      <w:r w:rsidR="003A7F97" w:rsidRPr="003A7F97">
        <w:rPr>
          <w:rFonts w:ascii="Times New Roman" w:hAnsi="Times New Roman" w:cs="Times New Roman"/>
          <w:sz w:val="24"/>
          <w:szCs w:val="24"/>
          <w:lang w:eastAsia="en-CA"/>
        </w:rPr>
        <w:t xml:space="preserve"> the person or organization responsible for the contravention to remedy it. </w:t>
      </w:r>
      <w:r w:rsidR="00BD052D" w:rsidRPr="00D3581C">
        <w:rPr>
          <w:rFonts w:ascii="Times New Roman" w:hAnsi="Times New Roman" w:cs="Times New Roman"/>
          <w:sz w:val="24"/>
          <w:szCs w:val="24"/>
          <w:lang w:eastAsia="en-CA"/>
        </w:rPr>
        <w:t xml:space="preserve">Persons and organizations can request </w:t>
      </w:r>
      <w:r w:rsidR="00CB50F0" w:rsidRPr="00D3581C">
        <w:rPr>
          <w:rFonts w:ascii="Times New Roman" w:hAnsi="Times New Roman" w:cs="Times New Roman"/>
          <w:sz w:val="24"/>
          <w:szCs w:val="24"/>
          <w:lang w:eastAsia="en-CA"/>
        </w:rPr>
        <w:t xml:space="preserve">the director </w:t>
      </w:r>
      <w:r w:rsidR="00CB50F0">
        <w:rPr>
          <w:rFonts w:ascii="Times New Roman" w:hAnsi="Times New Roman" w:cs="Times New Roman"/>
          <w:sz w:val="24"/>
          <w:szCs w:val="24"/>
          <w:lang w:eastAsia="en-CA"/>
        </w:rPr>
        <w:t>to</w:t>
      </w:r>
      <w:r w:rsidR="00BD052D" w:rsidRPr="00D3581C">
        <w:rPr>
          <w:rFonts w:ascii="Times New Roman" w:hAnsi="Times New Roman" w:cs="Times New Roman"/>
          <w:sz w:val="24"/>
          <w:szCs w:val="24"/>
          <w:lang w:eastAsia="en-CA"/>
        </w:rPr>
        <w:t xml:space="preserve"> review </w:t>
      </w:r>
      <w:r w:rsidR="00BD052D">
        <w:rPr>
          <w:rFonts w:ascii="Times New Roman" w:hAnsi="Times New Roman" w:cs="Times New Roman"/>
          <w:sz w:val="24"/>
          <w:szCs w:val="24"/>
          <w:lang w:eastAsia="en-CA"/>
        </w:rPr>
        <w:t>an</w:t>
      </w:r>
      <w:r w:rsidR="00BD052D" w:rsidRPr="00D3581C">
        <w:rPr>
          <w:rFonts w:ascii="Times New Roman" w:hAnsi="Times New Roman" w:cs="Times New Roman"/>
          <w:sz w:val="24"/>
          <w:szCs w:val="24"/>
          <w:lang w:eastAsia="en-CA"/>
        </w:rPr>
        <w:t xml:space="preserve"> inspector’s </w:t>
      </w:r>
      <w:r w:rsidR="00CB50F0">
        <w:rPr>
          <w:rFonts w:ascii="Times New Roman" w:hAnsi="Times New Roman" w:cs="Times New Roman"/>
          <w:sz w:val="24"/>
          <w:szCs w:val="24"/>
          <w:lang w:eastAsia="en-CA"/>
        </w:rPr>
        <w:t>order</w:t>
      </w:r>
      <w:r w:rsidR="00BD052D" w:rsidRPr="00D3581C">
        <w:rPr>
          <w:rFonts w:ascii="Times New Roman" w:hAnsi="Times New Roman" w:cs="Times New Roman"/>
          <w:sz w:val="24"/>
          <w:szCs w:val="24"/>
          <w:lang w:eastAsia="en-CA"/>
        </w:rPr>
        <w:t>.</w:t>
      </w:r>
      <w:r w:rsidR="003A7F97">
        <w:rPr>
          <w:rFonts w:ascii="Times New Roman" w:hAnsi="Times New Roman" w:cs="Times New Roman"/>
          <w:sz w:val="24"/>
          <w:szCs w:val="24"/>
          <w:lang w:eastAsia="en-CA"/>
        </w:rPr>
        <w:t xml:space="preserve"> The director is a civil servant appointed to take care of the general administration of the AMA, to advise the minister on the AMA’s functioning and to perform </w:t>
      </w:r>
      <w:r w:rsidR="00CB50F0">
        <w:rPr>
          <w:rFonts w:ascii="Times New Roman" w:hAnsi="Times New Roman" w:cs="Times New Roman"/>
          <w:sz w:val="24"/>
          <w:szCs w:val="24"/>
          <w:lang w:eastAsia="en-CA"/>
        </w:rPr>
        <w:t xml:space="preserve">various </w:t>
      </w:r>
      <w:r w:rsidR="003A7F97">
        <w:rPr>
          <w:rFonts w:ascii="Times New Roman" w:hAnsi="Times New Roman" w:cs="Times New Roman"/>
          <w:sz w:val="24"/>
          <w:szCs w:val="24"/>
          <w:lang w:eastAsia="en-CA"/>
        </w:rPr>
        <w:t>other duties assigned by the minister.</w:t>
      </w:r>
      <w:r w:rsidR="003A7F97">
        <w:rPr>
          <w:rStyle w:val="FootnoteReference"/>
          <w:rFonts w:ascii="Times New Roman" w:hAnsi="Times New Roman" w:cs="Times New Roman"/>
          <w:sz w:val="24"/>
          <w:szCs w:val="24"/>
          <w:lang w:eastAsia="en-CA"/>
        </w:rPr>
        <w:footnoteReference w:id="80"/>
      </w:r>
      <w:r w:rsidR="00BD052D" w:rsidRPr="00D3581C">
        <w:rPr>
          <w:rFonts w:ascii="Times New Roman" w:hAnsi="Times New Roman" w:cs="Times New Roman"/>
          <w:sz w:val="24"/>
          <w:szCs w:val="24"/>
          <w:lang w:eastAsia="en-CA"/>
        </w:rPr>
        <w:t xml:space="preserve"> The director must receive the </w:t>
      </w:r>
      <w:r w:rsidR="003A7F97">
        <w:rPr>
          <w:rFonts w:ascii="Times New Roman" w:hAnsi="Times New Roman" w:cs="Times New Roman"/>
          <w:sz w:val="24"/>
          <w:szCs w:val="24"/>
          <w:lang w:eastAsia="en-CA"/>
        </w:rPr>
        <w:t xml:space="preserve">review </w:t>
      </w:r>
      <w:r w:rsidR="00BD052D" w:rsidRPr="00D3581C">
        <w:rPr>
          <w:rFonts w:ascii="Times New Roman" w:hAnsi="Times New Roman" w:cs="Times New Roman"/>
          <w:sz w:val="24"/>
          <w:szCs w:val="24"/>
          <w:lang w:eastAsia="en-CA"/>
        </w:rPr>
        <w:t>request within 14 days after the order is served or else the order is final. No hearing is required, but the director must allow the person or organization to submit written submissions. The director ultimately decides whether to confirm the inspector’s orig</w:t>
      </w:r>
      <w:r w:rsidR="00BD052D">
        <w:rPr>
          <w:rFonts w:ascii="Times New Roman" w:hAnsi="Times New Roman" w:cs="Times New Roman"/>
          <w:sz w:val="24"/>
          <w:szCs w:val="24"/>
          <w:lang w:eastAsia="en-CA"/>
        </w:rPr>
        <w:t>inal order, or to revoke or alter</w:t>
      </w:r>
      <w:r w:rsidR="00BD052D" w:rsidRPr="00D3581C">
        <w:rPr>
          <w:rFonts w:ascii="Times New Roman" w:hAnsi="Times New Roman" w:cs="Times New Roman"/>
          <w:sz w:val="24"/>
          <w:szCs w:val="24"/>
          <w:lang w:eastAsia="en-CA"/>
        </w:rPr>
        <w:t xml:space="preserve"> it. If the person or organization still feels that the decision is unfair, it can be appealed to the court.</w:t>
      </w:r>
      <w:r w:rsidR="00BD052D">
        <w:rPr>
          <w:rStyle w:val="FootnoteReference"/>
          <w:rFonts w:ascii="Times New Roman" w:hAnsi="Times New Roman" w:cs="Times New Roman"/>
          <w:sz w:val="24"/>
          <w:szCs w:val="24"/>
          <w:lang w:eastAsia="en-CA"/>
        </w:rPr>
        <w:footnoteReference w:id="81"/>
      </w:r>
      <w:r w:rsidR="00BD052D" w:rsidRPr="00D3581C">
        <w:rPr>
          <w:rFonts w:ascii="Times New Roman" w:hAnsi="Times New Roman" w:cs="Times New Roman"/>
          <w:sz w:val="24"/>
          <w:szCs w:val="24"/>
          <w:lang w:eastAsia="en-CA"/>
        </w:rPr>
        <w:t xml:space="preserve"> </w:t>
      </w:r>
      <w:r w:rsidR="00646BB5">
        <w:rPr>
          <w:rFonts w:ascii="Times New Roman" w:hAnsi="Times New Roman" w:cs="Times New Roman"/>
          <w:sz w:val="24"/>
          <w:szCs w:val="24"/>
          <w:lang w:eastAsia="en-CA"/>
        </w:rPr>
        <w:t xml:space="preserve">After </w:t>
      </w:r>
      <w:r w:rsidR="00646BB5" w:rsidRPr="00D3581C">
        <w:rPr>
          <w:rFonts w:ascii="Times New Roman" w:hAnsi="Times New Roman" w:cs="Times New Roman"/>
          <w:sz w:val="24"/>
          <w:szCs w:val="24"/>
          <w:lang w:eastAsia="en-CA"/>
        </w:rPr>
        <w:t>hearing the appeal, the court may confirm the order or notice, nullify</w:t>
      </w:r>
      <w:r w:rsidR="00646BB5">
        <w:rPr>
          <w:rFonts w:ascii="Times New Roman" w:hAnsi="Times New Roman" w:cs="Times New Roman"/>
          <w:sz w:val="24"/>
          <w:szCs w:val="24"/>
          <w:lang w:eastAsia="en-CA"/>
        </w:rPr>
        <w:t xml:space="preserve"> it or alter</w:t>
      </w:r>
      <w:r w:rsidR="00646BB5" w:rsidRPr="00D3581C">
        <w:rPr>
          <w:rFonts w:ascii="Times New Roman" w:hAnsi="Times New Roman" w:cs="Times New Roman"/>
          <w:sz w:val="24"/>
          <w:szCs w:val="24"/>
          <w:lang w:eastAsia="en-CA"/>
        </w:rPr>
        <w:t xml:space="preserve"> it in any manner that it considers appropriate.</w:t>
      </w:r>
      <w:r w:rsidR="00646BB5">
        <w:rPr>
          <w:rStyle w:val="FootnoteReference"/>
          <w:rFonts w:ascii="Times New Roman" w:hAnsi="Times New Roman" w:cs="Times New Roman"/>
          <w:sz w:val="24"/>
          <w:szCs w:val="24"/>
          <w:lang w:eastAsia="en-CA"/>
        </w:rPr>
        <w:footnoteReference w:id="82"/>
      </w:r>
    </w:p>
    <w:p w:rsidR="00BD052D" w:rsidRPr="00D3581C" w:rsidRDefault="00BD052D">
      <w:pPr>
        <w:spacing w:after="0" w:line="240" w:lineRule="auto"/>
        <w:jc w:val="both"/>
        <w:rPr>
          <w:rFonts w:ascii="Times New Roman" w:hAnsi="Times New Roman" w:cs="Times New Roman"/>
          <w:sz w:val="24"/>
          <w:szCs w:val="24"/>
          <w:lang w:eastAsia="en-CA"/>
        </w:rPr>
      </w:pPr>
    </w:p>
    <w:p w:rsidR="00BD052D" w:rsidRPr="00D3581C" w:rsidRDefault="00BD052D">
      <w:pPr>
        <w:spacing w:after="0" w:line="240" w:lineRule="auto"/>
        <w:jc w:val="both"/>
        <w:rPr>
          <w:rFonts w:ascii="Times New Roman" w:hAnsi="Times New Roman" w:cs="Times New Roman"/>
          <w:sz w:val="24"/>
          <w:szCs w:val="24"/>
          <w:lang w:eastAsia="en-CA"/>
        </w:rPr>
      </w:pPr>
      <w:r w:rsidRPr="00D3581C">
        <w:rPr>
          <w:rFonts w:ascii="Times New Roman" w:hAnsi="Times New Roman" w:cs="Times New Roman"/>
          <w:sz w:val="24"/>
          <w:szCs w:val="24"/>
          <w:lang w:eastAsia="en-CA"/>
        </w:rPr>
        <w:t xml:space="preserve">If </w:t>
      </w:r>
      <w:r w:rsidR="00CE0EE9">
        <w:rPr>
          <w:rFonts w:ascii="Times New Roman" w:hAnsi="Times New Roman" w:cs="Times New Roman"/>
          <w:sz w:val="24"/>
          <w:szCs w:val="24"/>
          <w:lang w:eastAsia="en-CA"/>
        </w:rPr>
        <w:t>a</w:t>
      </w:r>
      <w:r w:rsidR="00646BB5">
        <w:rPr>
          <w:rFonts w:ascii="Times New Roman" w:hAnsi="Times New Roman" w:cs="Times New Roman"/>
          <w:sz w:val="24"/>
          <w:szCs w:val="24"/>
          <w:lang w:eastAsia="en-CA"/>
        </w:rPr>
        <w:t xml:space="preserve"> review of the order has not been requested and </w:t>
      </w:r>
      <w:r w:rsidRPr="00D3581C">
        <w:rPr>
          <w:rFonts w:ascii="Times New Roman" w:hAnsi="Times New Roman" w:cs="Times New Roman"/>
          <w:sz w:val="24"/>
          <w:szCs w:val="24"/>
          <w:lang w:eastAsia="en-CA"/>
        </w:rPr>
        <w:t>the director</w:t>
      </w:r>
      <w:r w:rsidR="00646BB5">
        <w:rPr>
          <w:rFonts w:ascii="Times New Roman" w:hAnsi="Times New Roman" w:cs="Times New Roman"/>
          <w:sz w:val="24"/>
          <w:szCs w:val="24"/>
          <w:lang w:eastAsia="en-CA"/>
        </w:rPr>
        <w:t xml:space="preserve"> finds </w:t>
      </w:r>
      <w:r w:rsidRPr="00D3581C">
        <w:rPr>
          <w:rFonts w:ascii="Times New Roman" w:hAnsi="Times New Roman" w:cs="Times New Roman"/>
          <w:sz w:val="24"/>
          <w:szCs w:val="24"/>
          <w:lang w:eastAsia="en-CA"/>
        </w:rPr>
        <w:t xml:space="preserve">that a person or organization has failed to comply with </w:t>
      </w:r>
      <w:r w:rsidR="00CE0EE9">
        <w:rPr>
          <w:rFonts w:ascii="Times New Roman" w:hAnsi="Times New Roman" w:cs="Times New Roman"/>
          <w:sz w:val="24"/>
          <w:szCs w:val="24"/>
          <w:lang w:eastAsia="en-CA"/>
        </w:rPr>
        <w:t>the</w:t>
      </w:r>
      <w:r w:rsidR="00CE0EE9" w:rsidRPr="00D3581C">
        <w:rPr>
          <w:rFonts w:ascii="Times New Roman" w:hAnsi="Times New Roman" w:cs="Times New Roman"/>
          <w:sz w:val="24"/>
          <w:szCs w:val="24"/>
          <w:lang w:eastAsia="en-CA"/>
        </w:rPr>
        <w:t xml:space="preserve"> </w:t>
      </w:r>
      <w:r w:rsidRPr="00D3581C">
        <w:rPr>
          <w:rFonts w:ascii="Times New Roman" w:hAnsi="Times New Roman" w:cs="Times New Roman"/>
          <w:sz w:val="24"/>
          <w:szCs w:val="24"/>
          <w:lang w:eastAsia="en-CA"/>
        </w:rPr>
        <w:t xml:space="preserve">order, </w:t>
      </w:r>
      <w:r w:rsidR="00CE0EE9">
        <w:rPr>
          <w:rFonts w:ascii="Times New Roman" w:hAnsi="Times New Roman" w:cs="Times New Roman"/>
          <w:sz w:val="24"/>
          <w:szCs w:val="24"/>
          <w:lang w:eastAsia="en-CA"/>
        </w:rPr>
        <w:t xml:space="preserve">the director may, at their discretion, require the person or organization </w:t>
      </w:r>
      <w:r w:rsidR="00B0661B">
        <w:rPr>
          <w:rFonts w:ascii="Times New Roman" w:hAnsi="Times New Roman" w:cs="Times New Roman"/>
          <w:sz w:val="24"/>
          <w:szCs w:val="24"/>
          <w:lang w:eastAsia="en-CA"/>
        </w:rPr>
        <w:t xml:space="preserve">to </w:t>
      </w:r>
      <w:r w:rsidRPr="00D3581C">
        <w:rPr>
          <w:rFonts w:ascii="Times New Roman" w:hAnsi="Times New Roman" w:cs="Times New Roman"/>
          <w:sz w:val="24"/>
          <w:szCs w:val="24"/>
          <w:lang w:eastAsia="en-CA"/>
        </w:rPr>
        <w:t>pay an administrative penalty</w:t>
      </w:r>
      <w:r>
        <w:rPr>
          <w:rFonts w:ascii="Times New Roman" w:hAnsi="Times New Roman" w:cs="Times New Roman"/>
          <w:sz w:val="24"/>
          <w:szCs w:val="24"/>
          <w:lang w:eastAsia="en-CA"/>
        </w:rPr>
        <w:t xml:space="preserve"> in </w:t>
      </w:r>
      <w:r w:rsidR="00B0661B">
        <w:rPr>
          <w:rFonts w:ascii="Times New Roman" w:hAnsi="Times New Roman" w:cs="Times New Roman"/>
          <w:sz w:val="24"/>
          <w:szCs w:val="24"/>
          <w:lang w:eastAsia="en-CA"/>
        </w:rPr>
        <w:t xml:space="preserve">an </w:t>
      </w:r>
      <w:r>
        <w:rPr>
          <w:rFonts w:ascii="Times New Roman" w:hAnsi="Times New Roman" w:cs="Times New Roman"/>
          <w:sz w:val="24"/>
          <w:szCs w:val="24"/>
          <w:lang w:eastAsia="en-CA"/>
        </w:rPr>
        <w:t xml:space="preserve">amount determined </w:t>
      </w:r>
      <w:r w:rsidR="00B0661B">
        <w:rPr>
          <w:rFonts w:ascii="Times New Roman" w:hAnsi="Times New Roman" w:cs="Times New Roman"/>
          <w:sz w:val="24"/>
          <w:szCs w:val="24"/>
          <w:lang w:eastAsia="en-CA"/>
        </w:rPr>
        <w:t>in accordance with</w:t>
      </w:r>
      <w:r>
        <w:rPr>
          <w:rFonts w:ascii="Times New Roman" w:hAnsi="Times New Roman" w:cs="Times New Roman"/>
          <w:sz w:val="24"/>
          <w:szCs w:val="24"/>
          <w:lang w:eastAsia="en-CA"/>
        </w:rPr>
        <w:t xml:space="preserve"> </w:t>
      </w:r>
      <w:r w:rsidRPr="00D3581C">
        <w:rPr>
          <w:rFonts w:ascii="Times New Roman" w:hAnsi="Times New Roman" w:cs="Times New Roman"/>
          <w:sz w:val="24"/>
          <w:szCs w:val="24"/>
          <w:lang w:eastAsia="en-CA"/>
        </w:rPr>
        <w:t>the regulations.</w:t>
      </w:r>
      <w:r>
        <w:rPr>
          <w:rStyle w:val="FootnoteReference"/>
          <w:rFonts w:ascii="Times New Roman" w:hAnsi="Times New Roman" w:cs="Times New Roman"/>
          <w:sz w:val="24"/>
          <w:szCs w:val="24"/>
          <w:lang w:eastAsia="en-CA"/>
        </w:rPr>
        <w:footnoteReference w:id="83"/>
      </w:r>
      <w:r w:rsidRPr="00D3581C">
        <w:rPr>
          <w:rFonts w:ascii="Times New Roman" w:hAnsi="Times New Roman" w:cs="Times New Roman"/>
          <w:sz w:val="24"/>
          <w:szCs w:val="24"/>
          <w:lang w:eastAsia="en-CA"/>
        </w:rPr>
        <w:t xml:space="preserve"> </w:t>
      </w:r>
    </w:p>
    <w:p w:rsidR="00BD052D" w:rsidRPr="00D3581C" w:rsidRDefault="00BD052D">
      <w:pPr>
        <w:spacing w:after="0" w:line="240" w:lineRule="auto"/>
        <w:jc w:val="both"/>
        <w:rPr>
          <w:rFonts w:ascii="Times New Roman" w:hAnsi="Times New Roman" w:cs="Times New Roman"/>
          <w:sz w:val="24"/>
          <w:szCs w:val="24"/>
          <w:lang w:eastAsia="en-CA"/>
        </w:rPr>
      </w:pPr>
    </w:p>
    <w:p w:rsidR="00BD052D" w:rsidRPr="00D3581C" w:rsidRDefault="00BD052D">
      <w:pPr>
        <w:spacing w:after="0"/>
        <w:jc w:val="both"/>
        <w:rPr>
          <w:rFonts w:ascii="Times New Roman" w:hAnsi="Times New Roman" w:cs="Times New Roman"/>
          <w:sz w:val="24"/>
          <w:szCs w:val="24"/>
          <w:lang w:eastAsia="en-CA"/>
        </w:rPr>
      </w:pPr>
      <w:r w:rsidRPr="00D3581C">
        <w:rPr>
          <w:rFonts w:ascii="Times New Roman" w:hAnsi="Times New Roman" w:cs="Times New Roman"/>
          <w:sz w:val="24"/>
          <w:szCs w:val="24"/>
          <w:lang w:eastAsia="en-CA"/>
        </w:rPr>
        <w:t>There is no offence if the person or organization pays the administrative penalty for non-compliance</w:t>
      </w:r>
      <w:r w:rsidR="00E1509A">
        <w:rPr>
          <w:rFonts w:ascii="Times New Roman" w:hAnsi="Times New Roman" w:cs="Times New Roman"/>
          <w:sz w:val="24"/>
          <w:szCs w:val="24"/>
          <w:lang w:eastAsia="en-CA"/>
        </w:rPr>
        <w:t>. They</w:t>
      </w:r>
      <w:r w:rsidRPr="00D3581C">
        <w:rPr>
          <w:rFonts w:ascii="Times New Roman" w:hAnsi="Times New Roman" w:cs="Times New Roman"/>
          <w:sz w:val="24"/>
          <w:szCs w:val="24"/>
          <w:lang w:eastAsia="en-CA"/>
        </w:rPr>
        <w:t xml:space="preserve"> may not be charged with an offence in respect of that non-compliance unless it continues after the penalty is paid.</w:t>
      </w:r>
      <w:r>
        <w:rPr>
          <w:rStyle w:val="FootnoteReference"/>
          <w:rFonts w:ascii="Times New Roman" w:hAnsi="Times New Roman" w:cs="Times New Roman"/>
          <w:sz w:val="24"/>
          <w:szCs w:val="24"/>
          <w:lang w:eastAsia="en-CA"/>
        </w:rPr>
        <w:footnoteReference w:id="84"/>
      </w:r>
      <w:r w:rsidR="00254BF9">
        <w:rPr>
          <w:rFonts w:ascii="Times New Roman" w:hAnsi="Times New Roman" w:cs="Times New Roman"/>
          <w:sz w:val="24"/>
          <w:szCs w:val="24"/>
          <w:lang w:eastAsia="en-CA"/>
        </w:rPr>
        <w:t xml:space="preserve"> With respect to the public’s right to know about compliance, t</w:t>
      </w:r>
      <w:r w:rsidRPr="00D3581C">
        <w:rPr>
          <w:rFonts w:ascii="Times New Roman" w:hAnsi="Times New Roman" w:cs="Times New Roman"/>
          <w:sz w:val="24"/>
          <w:szCs w:val="24"/>
          <w:lang w:eastAsia="en-CA"/>
        </w:rPr>
        <w:t xml:space="preserve">he director may issue public reports which disclose details of orders and administrative penalties. </w:t>
      </w:r>
      <w:r w:rsidR="00254BF9">
        <w:rPr>
          <w:rFonts w:ascii="Times New Roman" w:hAnsi="Times New Roman" w:cs="Times New Roman"/>
          <w:sz w:val="24"/>
          <w:szCs w:val="24"/>
          <w:lang w:eastAsia="en-CA"/>
        </w:rPr>
        <w:t>Within t</w:t>
      </w:r>
      <w:r w:rsidRPr="00D3581C">
        <w:rPr>
          <w:rFonts w:ascii="Times New Roman" w:hAnsi="Times New Roman" w:cs="Times New Roman"/>
          <w:sz w:val="24"/>
          <w:szCs w:val="24"/>
          <w:lang w:eastAsia="en-CA"/>
        </w:rPr>
        <w:t>hese public reports</w:t>
      </w:r>
      <w:r w:rsidR="00254BF9">
        <w:rPr>
          <w:rFonts w:ascii="Times New Roman" w:hAnsi="Times New Roman" w:cs="Times New Roman"/>
          <w:sz w:val="24"/>
          <w:szCs w:val="24"/>
          <w:lang w:eastAsia="en-CA"/>
        </w:rPr>
        <w:t>, the director is also</w:t>
      </w:r>
      <w:r w:rsidRPr="00D3581C">
        <w:rPr>
          <w:rFonts w:ascii="Times New Roman" w:hAnsi="Times New Roman" w:cs="Times New Roman"/>
          <w:sz w:val="24"/>
          <w:szCs w:val="24"/>
          <w:lang w:eastAsia="en-CA"/>
        </w:rPr>
        <w:t xml:space="preserve"> allowed to disclose personal information.</w:t>
      </w:r>
      <w:r>
        <w:rPr>
          <w:rStyle w:val="FootnoteReference"/>
          <w:rFonts w:ascii="Times New Roman" w:hAnsi="Times New Roman" w:cs="Times New Roman"/>
          <w:sz w:val="24"/>
          <w:szCs w:val="24"/>
          <w:lang w:eastAsia="en-CA"/>
        </w:rPr>
        <w:footnoteReference w:id="85"/>
      </w:r>
      <w:r w:rsidRPr="00D3581C">
        <w:rPr>
          <w:rFonts w:ascii="Times New Roman" w:hAnsi="Times New Roman" w:cs="Times New Roman"/>
          <w:sz w:val="24"/>
          <w:szCs w:val="24"/>
          <w:lang w:eastAsia="en-CA"/>
        </w:rPr>
        <w:t xml:space="preserve"> </w:t>
      </w:r>
      <w:r w:rsidR="00254BF9">
        <w:rPr>
          <w:rFonts w:ascii="Times New Roman" w:hAnsi="Times New Roman" w:cs="Times New Roman"/>
          <w:sz w:val="24"/>
          <w:szCs w:val="24"/>
          <w:lang w:eastAsia="en-CA"/>
        </w:rPr>
        <w:t>Personal Information is not defined in the statute but likely has limitations based on the province’s access to information and privacy legislation. The more information that is produced publicly about compliance with the Act and enforcement by inspectors and directors, the better it will be for all stakeholders to seek improvements.</w:t>
      </w:r>
    </w:p>
    <w:p w:rsidR="00BD052D" w:rsidRPr="00D3581C" w:rsidRDefault="00BD052D">
      <w:pPr>
        <w:spacing w:after="0" w:line="240" w:lineRule="auto"/>
        <w:jc w:val="both"/>
        <w:rPr>
          <w:rFonts w:ascii="Times New Roman" w:hAnsi="Times New Roman" w:cs="Times New Roman"/>
          <w:sz w:val="24"/>
          <w:szCs w:val="24"/>
          <w:lang w:eastAsia="en-CA"/>
        </w:rPr>
      </w:pPr>
    </w:p>
    <w:p w:rsidR="00BD052D" w:rsidRPr="00254BF9" w:rsidRDefault="00BD052D">
      <w:pPr>
        <w:spacing w:after="0"/>
        <w:contextualSpacing/>
        <w:jc w:val="both"/>
        <w:rPr>
          <w:rFonts w:ascii="Times New Roman" w:hAnsi="Times New Roman" w:cs="Times New Roman"/>
          <w:sz w:val="24"/>
          <w:szCs w:val="24"/>
          <w:lang w:eastAsia="en-CA"/>
        </w:rPr>
      </w:pPr>
      <w:r w:rsidRPr="00254BF9">
        <w:rPr>
          <w:rFonts w:ascii="Times New Roman" w:hAnsi="Times New Roman" w:cs="Times New Roman"/>
          <w:sz w:val="24"/>
          <w:szCs w:val="24"/>
          <w:lang w:eastAsia="en-CA"/>
        </w:rPr>
        <w:t>Overall, enforcement of the AMA rest</w:t>
      </w:r>
      <w:r w:rsidR="00FB712D" w:rsidRPr="00254BF9">
        <w:rPr>
          <w:rFonts w:ascii="Times New Roman" w:hAnsi="Times New Roman" w:cs="Times New Roman"/>
          <w:sz w:val="24"/>
          <w:szCs w:val="24"/>
          <w:lang w:eastAsia="en-CA"/>
        </w:rPr>
        <w:t>s</w:t>
      </w:r>
      <w:r w:rsidRPr="00254BF9">
        <w:rPr>
          <w:rFonts w:ascii="Times New Roman" w:hAnsi="Times New Roman" w:cs="Times New Roman"/>
          <w:sz w:val="24"/>
          <w:szCs w:val="24"/>
          <w:lang w:eastAsia="en-CA"/>
        </w:rPr>
        <w:t xml:space="preserve"> significantly on government discretion. It will be at the government’s discretion that inspectors are put out to investigate potential issues</w:t>
      </w:r>
      <w:r w:rsidR="00254BF9">
        <w:rPr>
          <w:rFonts w:ascii="Times New Roman" w:hAnsi="Times New Roman" w:cs="Times New Roman"/>
          <w:sz w:val="24"/>
          <w:szCs w:val="24"/>
          <w:lang w:eastAsia="en-CA"/>
        </w:rPr>
        <w:t>, that administrative penalties are ordered, and that public reporting of contraventions of the act will be done.</w:t>
      </w:r>
      <w:r w:rsidRPr="00254BF9">
        <w:rPr>
          <w:rFonts w:ascii="Times New Roman" w:hAnsi="Times New Roman" w:cs="Times New Roman"/>
          <w:sz w:val="24"/>
          <w:szCs w:val="24"/>
          <w:lang w:eastAsia="en-CA"/>
        </w:rPr>
        <w:t>. Government discretion fuel</w:t>
      </w:r>
      <w:r w:rsidR="00694804">
        <w:rPr>
          <w:rFonts w:ascii="Times New Roman" w:hAnsi="Times New Roman" w:cs="Times New Roman"/>
          <w:sz w:val="24"/>
          <w:szCs w:val="24"/>
          <w:lang w:eastAsia="en-CA"/>
        </w:rPr>
        <w:t xml:space="preserve">s any </w:t>
      </w:r>
      <w:r w:rsidRPr="00254BF9">
        <w:rPr>
          <w:rFonts w:ascii="Times New Roman" w:hAnsi="Times New Roman" w:cs="Times New Roman"/>
          <w:sz w:val="24"/>
          <w:szCs w:val="24"/>
          <w:lang w:eastAsia="en-CA"/>
        </w:rPr>
        <w:t xml:space="preserve">audits that may be made to ensure that accessibility plans </w:t>
      </w:r>
      <w:r w:rsidRPr="00254BF9">
        <w:rPr>
          <w:rFonts w:ascii="Times New Roman" w:hAnsi="Times New Roman" w:cs="Times New Roman"/>
          <w:sz w:val="24"/>
          <w:szCs w:val="24"/>
          <w:lang w:eastAsia="en-CA"/>
        </w:rPr>
        <w:lastRenderedPageBreak/>
        <w:t>and accessibility reports are filed. One lesson that should be learned from Ontario’s experience with the AODA is that lack of political will to enforce accessibility standards can effectively obstruct the philosophical and social goals of accessibility standards statute.</w:t>
      </w:r>
      <w:r w:rsidRPr="00E57049">
        <w:rPr>
          <w:rFonts w:ascii="Times New Roman" w:hAnsi="Times New Roman" w:cs="Times New Roman"/>
        </w:rPr>
        <w:t xml:space="preserve"> </w:t>
      </w:r>
      <w:r w:rsidRPr="00E57049">
        <w:rPr>
          <w:rFonts w:ascii="Times New Roman" w:hAnsi="Times New Roman" w:cs="Times New Roman"/>
          <w:sz w:val="24"/>
          <w:szCs w:val="24"/>
        </w:rPr>
        <w:t>In Ontario,</w:t>
      </w:r>
      <w:r w:rsidRPr="00E57049">
        <w:rPr>
          <w:rFonts w:ascii="Times New Roman" w:hAnsi="Times New Roman" w:cs="Times New Roman"/>
        </w:rPr>
        <w:t xml:space="preserve"> </w:t>
      </w:r>
      <w:r w:rsidRPr="00254BF9">
        <w:rPr>
          <w:rFonts w:ascii="Times New Roman" w:hAnsi="Times New Roman" w:cs="Times New Roman"/>
          <w:sz w:val="24"/>
          <w:szCs w:val="24"/>
          <w:lang w:eastAsia="en-CA"/>
        </w:rPr>
        <w:t xml:space="preserve">two years after the first </w:t>
      </w:r>
      <w:r w:rsidR="00FB712D" w:rsidRPr="00254BF9">
        <w:rPr>
          <w:rFonts w:ascii="Times New Roman" w:hAnsi="Times New Roman" w:cs="Times New Roman"/>
          <w:sz w:val="24"/>
          <w:szCs w:val="24"/>
          <w:lang w:eastAsia="en-CA"/>
        </w:rPr>
        <w:t>self-reporting</w:t>
      </w:r>
      <w:r w:rsidRPr="00254BF9">
        <w:rPr>
          <w:rFonts w:ascii="Times New Roman" w:hAnsi="Times New Roman" w:cs="Times New Roman"/>
          <w:sz w:val="24"/>
          <w:szCs w:val="24"/>
          <w:lang w:eastAsia="en-CA"/>
        </w:rPr>
        <w:t xml:space="preserve"> due date under the Customer Service regulation, 70% of companies had not filed a report, representing 36,000 businesses across the province. They also had not been audited.</w:t>
      </w:r>
      <w:r w:rsidRPr="00254BF9">
        <w:rPr>
          <w:rStyle w:val="FootnoteReference"/>
          <w:rFonts w:ascii="Times New Roman" w:hAnsi="Times New Roman" w:cs="Times New Roman"/>
          <w:sz w:val="24"/>
          <w:szCs w:val="24"/>
          <w:lang w:eastAsia="en-CA"/>
        </w:rPr>
        <w:footnoteReference w:id="86"/>
      </w:r>
      <w:r w:rsidRPr="00254BF9">
        <w:rPr>
          <w:rFonts w:ascii="Times New Roman" w:hAnsi="Times New Roman" w:cs="Times New Roman"/>
          <w:sz w:val="24"/>
          <w:szCs w:val="24"/>
          <w:lang w:eastAsia="en-CA"/>
        </w:rPr>
        <w:t xml:space="preserve"> As of 2016, only four violations have been brought before the responsible tribunal. Even more disturbingly, in June, 2016, the Ontario government reduced the scope of application of the AODA Customer Service Regulation.</w:t>
      </w:r>
      <w:r w:rsidRPr="00E57049">
        <w:rPr>
          <w:rFonts w:ascii="Times New Roman" w:hAnsi="Times New Roman" w:cs="Times New Roman"/>
          <w:sz w:val="24"/>
          <w:szCs w:val="24"/>
        </w:rPr>
        <w:t xml:space="preserve"> Private sector organizations </w:t>
      </w:r>
      <w:r w:rsidRPr="00254BF9">
        <w:rPr>
          <w:rFonts w:ascii="Times New Roman" w:hAnsi="Times New Roman" w:cs="Times New Roman"/>
          <w:sz w:val="24"/>
          <w:szCs w:val="24"/>
          <w:lang w:eastAsia="en-CA"/>
        </w:rPr>
        <w:t>no longer need to have their customer service accessibility policy in writing, to provide it in writing to the public on request nor to keep records of employee training on customer service accessibility.</w:t>
      </w:r>
      <w:r w:rsidRPr="00254BF9">
        <w:rPr>
          <w:rStyle w:val="FootnoteReference"/>
          <w:rFonts w:ascii="Times New Roman" w:hAnsi="Times New Roman" w:cs="Times New Roman"/>
          <w:sz w:val="24"/>
          <w:szCs w:val="24"/>
          <w:lang w:eastAsia="en-CA"/>
        </w:rPr>
        <w:footnoteReference w:id="87"/>
      </w:r>
      <w:r w:rsidRPr="00254BF9">
        <w:rPr>
          <w:rFonts w:ascii="Times New Roman" w:hAnsi="Times New Roman" w:cs="Times New Roman"/>
          <w:sz w:val="24"/>
          <w:szCs w:val="24"/>
          <w:lang w:eastAsia="en-CA"/>
        </w:rPr>
        <w:t xml:space="preserve"> Since auditing is conducted on</w:t>
      </w:r>
      <w:r w:rsidRPr="00E57049">
        <w:rPr>
          <w:rFonts w:ascii="Times New Roman" w:hAnsi="Times New Roman" w:cs="Times New Roman"/>
          <w:sz w:val="24"/>
          <w:szCs w:val="24"/>
        </w:rPr>
        <w:t xml:space="preserve"> the strength of papers produced by organizations, this causes a significant barrier to auditing these organizations for their compliance. </w:t>
      </w:r>
      <w:r w:rsidRPr="00254BF9">
        <w:rPr>
          <w:rFonts w:ascii="Times New Roman" w:hAnsi="Times New Roman" w:cs="Times New Roman"/>
          <w:sz w:val="24"/>
          <w:szCs w:val="24"/>
          <w:lang w:eastAsia="en-CA"/>
        </w:rPr>
        <w:t>It will be necessary for Manitoba to avoid the challenges faced in Ontario in order to be successful in enforcement and compliance.</w:t>
      </w:r>
    </w:p>
    <w:p w:rsidR="00BD052D" w:rsidRDefault="00BD052D" w:rsidP="00884048">
      <w:pPr>
        <w:spacing w:after="0" w:line="240" w:lineRule="auto"/>
        <w:contextualSpacing/>
        <w:jc w:val="both"/>
        <w:rPr>
          <w:rFonts w:ascii="Times New Roman" w:hAnsi="Times New Roman" w:cs="Times New Roman"/>
          <w:sz w:val="24"/>
          <w:szCs w:val="24"/>
          <w:lang w:eastAsia="en-CA"/>
        </w:rPr>
      </w:pPr>
    </w:p>
    <w:p w:rsidR="00BD052D" w:rsidRPr="002F51E0" w:rsidRDefault="00BD052D" w:rsidP="00884048">
      <w:pPr>
        <w:pStyle w:val="Heading2"/>
        <w:numPr>
          <w:ilvl w:val="0"/>
          <w:numId w:val="1"/>
        </w:numPr>
        <w:jc w:val="both"/>
        <w:rPr>
          <w:lang w:eastAsia="en-CA"/>
        </w:rPr>
      </w:pPr>
      <w:r>
        <w:rPr>
          <w:lang w:eastAsia="en-CA"/>
        </w:rPr>
        <w:t>Conclusion</w:t>
      </w:r>
    </w:p>
    <w:p w:rsidR="00BD052D" w:rsidRPr="006D0DB1" w:rsidRDefault="00BD052D" w:rsidP="00884048">
      <w:pPr>
        <w:spacing w:after="0"/>
        <w:jc w:val="both"/>
        <w:rPr>
          <w:rFonts w:ascii="Times New Roman" w:hAnsi="Times New Roman"/>
          <w:sz w:val="24"/>
        </w:rPr>
      </w:pPr>
      <w:r>
        <w:rPr>
          <w:rFonts w:ascii="Times New Roman" w:hAnsi="Times New Roman"/>
          <w:sz w:val="24"/>
        </w:rPr>
        <w:t xml:space="preserve">In conclusion, the AMA presents a strong set of philosophical and social goals. </w:t>
      </w:r>
      <w:r w:rsidR="0071014C">
        <w:rPr>
          <w:rFonts w:ascii="Times New Roman" w:hAnsi="Times New Roman"/>
          <w:sz w:val="24"/>
        </w:rPr>
        <w:t xml:space="preserve">Its philosophical goals </w:t>
      </w:r>
      <w:r w:rsidR="00056EB6">
        <w:rPr>
          <w:rFonts w:ascii="Times New Roman" w:hAnsi="Times New Roman"/>
          <w:sz w:val="24"/>
        </w:rPr>
        <w:t>mark</w:t>
      </w:r>
      <w:r w:rsidR="0071014C">
        <w:rPr>
          <w:rFonts w:ascii="Times New Roman" w:hAnsi="Times New Roman"/>
          <w:sz w:val="24"/>
        </w:rPr>
        <w:t xml:space="preserve"> accessibility as a human right, and aim to improve the health, independence and well-being of persons with disabilities</w:t>
      </w:r>
      <w:r w:rsidR="00056EB6">
        <w:rPr>
          <w:rFonts w:ascii="Times New Roman" w:hAnsi="Times New Roman"/>
          <w:sz w:val="24"/>
        </w:rPr>
        <w:t xml:space="preserve">. The </w:t>
      </w:r>
      <w:r w:rsidR="0071014C">
        <w:rPr>
          <w:rFonts w:ascii="Times New Roman" w:hAnsi="Times New Roman"/>
          <w:sz w:val="24"/>
        </w:rPr>
        <w:t>AMA’s social goals rest on promoting the pillars of access, equality, universal design and systemic responsibility</w:t>
      </w:r>
      <w:r w:rsidR="00056EB6">
        <w:rPr>
          <w:rFonts w:ascii="Times New Roman" w:hAnsi="Times New Roman"/>
          <w:sz w:val="24"/>
        </w:rPr>
        <w:t xml:space="preserve"> – </w:t>
      </w:r>
      <w:r w:rsidR="0071014C">
        <w:rPr>
          <w:rFonts w:ascii="Times New Roman" w:hAnsi="Times New Roman"/>
          <w:sz w:val="24"/>
        </w:rPr>
        <w:t xml:space="preserve">guiding principles which are expressly set out in the statute. </w:t>
      </w:r>
      <w:r w:rsidR="00B12A6F">
        <w:rPr>
          <w:rFonts w:ascii="Times New Roman" w:hAnsi="Times New Roman"/>
          <w:sz w:val="24"/>
        </w:rPr>
        <w:t xml:space="preserve">These social goals  have </w:t>
      </w:r>
      <w:r w:rsidR="00057A80">
        <w:rPr>
          <w:rFonts w:ascii="Times New Roman" w:hAnsi="Times New Roman"/>
          <w:sz w:val="24"/>
        </w:rPr>
        <w:t xml:space="preserve">the promise of </w:t>
      </w:r>
      <w:r w:rsidR="00B12A6F">
        <w:rPr>
          <w:rFonts w:ascii="Times New Roman" w:hAnsi="Times New Roman"/>
          <w:sz w:val="24"/>
        </w:rPr>
        <w:t>positive</w:t>
      </w:r>
      <w:r w:rsidR="00057A80">
        <w:rPr>
          <w:rFonts w:ascii="Times New Roman" w:hAnsi="Times New Roman"/>
          <w:sz w:val="24"/>
        </w:rPr>
        <w:t xml:space="preserve">ly </w:t>
      </w:r>
      <w:r w:rsidR="00056EB6">
        <w:rPr>
          <w:rFonts w:ascii="Times New Roman" w:hAnsi="Times New Roman"/>
          <w:sz w:val="24"/>
        </w:rPr>
        <w:t>impact</w:t>
      </w:r>
      <w:r w:rsidR="00057A80">
        <w:rPr>
          <w:rFonts w:ascii="Times New Roman" w:hAnsi="Times New Roman"/>
          <w:sz w:val="24"/>
        </w:rPr>
        <w:t>ing</w:t>
      </w:r>
      <w:r w:rsidR="00056EB6">
        <w:rPr>
          <w:rFonts w:ascii="Times New Roman" w:hAnsi="Times New Roman"/>
          <w:sz w:val="24"/>
        </w:rPr>
        <w:t xml:space="preserve"> the development</w:t>
      </w:r>
      <w:r w:rsidR="00B12A6F">
        <w:rPr>
          <w:rFonts w:ascii="Times New Roman" w:hAnsi="Times New Roman"/>
          <w:sz w:val="24"/>
        </w:rPr>
        <w:t xml:space="preserve"> equality law norms</w:t>
      </w:r>
      <w:r w:rsidR="00056EB6">
        <w:rPr>
          <w:rFonts w:ascii="Times New Roman" w:hAnsi="Times New Roman"/>
          <w:sz w:val="24"/>
        </w:rPr>
        <w:t xml:space="preserve"> within the context of disability discrimination</w:t>
      </w:r>
      <w:r w:rsidR="00B12A6F">
        <w:rPr>
          <w:rFonts w:ascii="Times New Roman" w:hAnsi="Times New Roman"/>
          <w:sz w:val="24"/>
        </w:rPr>
        <w:t>. The statute</w:t>
      </w:r>
      <w:r w:rsidR="00056EB6">
        <w:rPr>
          <w:rFonts w:ascii="Times New Roman" w:hAnsi="Times New Roman"/>
          <w:sz w:val="24"/>
        </w:rPr>
        <w:t>’</w:t>
      </w:r>
      <w:r w:rsidR="00B12A6F">
        <w:rPr>
          <w:rFonts w:ascii="Times New Roman" w:hAnsi="Times New Roman"/>
          <w:sz w:val="24"/>
        </w:rPr>
        <w:t>s philosophical and social goals also aim implicitly to</w:t>
      </w:r>
      <w:r w:rsidR="00B12A6F" w:rsidRPr="00B12A6F">
        <w:rPr>
          <w:rFonts w:ascii="Times New Roman" w:hAnsi="Times New Roman"/>
          <w:sz w:val="24"/>
        </w:rPr>
        <w:t xml:space="preserve"> </w:t>
      </w:r>
      <w:r w:rsidR="00056EB6">
        <w:rPr>
          <w:rFonts w:ascii="Times New Roman" w:hAnsi="Times New Roman"/>
          <w:sz w:val="24"/>
        </w:rPr>
        <w:t>update</w:t>
      </w:r>
      <w:r w:rsidR="00B12A6F">
        <w:rPr>
          <w:rFonts w:ascii="Times New Roman" w:hAnsi="Times New Roman"/>
          <w:sz w:val="24"/>
        </w:rPr>
        <w:t xml:space="preserve"> </w:t>
      </w:r>
      <w:r w:rsidR="00056EB6">
        <w:rPr>
          <w:rFonts w:ascii="Times New Roman" w:hAnsi="Times New Roman"/>
          <w:sz w:val="24"/>
        </w:rPr>
        <w:t xml:space="preserve">both </w:t>
      </w:r>
      <w:r w:rsidR="00B12A6F">
        <w:rPr>
          <w:rFonts w:ascii="Times New Roman" w:hAnsi="Times New Roman"/>
          <w:sz w:val="24"/>
        </w:rPr>
        <w:t>the definition of disability</w:t>
      </w:r>
      <w:r w:rsidR="00057A80">
        <w:rPr>
          <w:rFonts w:ascii="Times New Roman" w:hAnsi="Times New Roman"/>
          <w:sz w:val="24"/>
        </w:rPr>
        <w:t>,</w:t>
      </w:r>
      <w:r w:rsidR="00B12A6F">
        <w:rPr>
          <w:rFonts w:ascii="Times New Roman" w:hAnsi="Times New Roman"/>
          <w:sz w:val="24"/>
        </w:rPr>
        <w:t xml:space="preserve"> so that it is understood as an experience that affects everyone</w:t>
      </w:r>
      <w:r w:rsidR="00056EB6">
        <w:rPr>
          <w:rFonts w:ascii="Times New Roman" w:hAnsi="Times New Roman"/>
          <w:sz w:val="24"/>
        </w:rPr>
        <w:t xml:space="preserve">, </w:t>
      </w:r>
      <w:r w:rsidR="00B12A6F">
        <w:rPr>
          <w:rFonts w:ascii="Times New Roman" w:hAnsi="Times New Roman"/>
          <w:sz w:val="24"/>
        </w:rPr>
        <w:t xml:space="preserve"> and the way Manitobans think about disability, </w:t>
      </w:r>
      <w:r w:rsidR="00056EB6">
        <w:rPr>
          <w:rFonts w:ascii="Times New Roman" w:hAnsi="Times New Roman"/>
          <w:sz w:val="24"/>
        </w:rPr>
        <w:t>to underscore</w:t>
      </w:r>
      <w:r w:rsidR="00B12A6F">
        <w:rPr>
          <w:rFonts w:ascii="Times New Roman" w:hAnsi="Times New Roman"/>
          <w:sz w:val="24"/>
        </w:rPr>
        <w:t xml:space="preserve"> that it is an experience that could affect any individual. </w:t>
      </w:r>
      <w:r w:rsidR="00057A80">
        <w:rPr>
          <w:rFonts w:ascii="Times New Roman" w:hAnsi="Times New Roman"/>
          <w:sz w:val="24"/>
        </w:rPr>
        <w:t>Nonetheless</w:t>
      </w:r>
      <w:r w:rsidR="00B12A6F">
        <w:rPr>
          <w:rFonts w:ascii="Times New Roman" w:hAnsi="Times New Roman"/>
          <w:sz w:val="24"/>
        </w:rPr>
        <w:t xml:space="preserve">, the AMA </w:t>
      </w:r>
      <w:r>
        <w:rPr>
          <w:rFonts w:ascii="Times New Roman" w:hAnsi="Times New Roman"/>
          <w:sz w:val="24"/>
        </w:rPr>
        <w:t xml:space="preserve">could be strengthened with a more </w:t>
      </w:r>
      <w:r w:rsidR="00057A80">
        <w:rPr>
          <w:rFonts w:ascii="Times New Roman" w:hAnsi="Times New Roman"/>
          <w:sz w:val="24"/>
        </w:rPr>
        <w:t xml:space="preserve">robust </w:t>
      </w:r>
      <w:r>
        <w:rPr>
          <w:rFonts w:ascii="Times New Roman" w:hAnsi="Times New Roman"/>
          <w:sz w:val="24"/>
        </w:rPr>
        <w:t>and explicit understanding of how disability discrimination issues</w:t>
      </w:r>
      <w:r w:rsidR="00AF4B05">
        <w:rPr>
          <w:rFonts w:ascii="Times New Roman" w:hAnsi="Times New Roman"/>
          <w:sz w:val="24"/>
        </w:rPr>
        <w:t xml:space="preserve"> are experienced</w:t>
      </w:r>
      <w:r w:rsidR="00057A80">
        <w:rPr>
          <w:rFonts w:ascii="Times New Roman" w:hAnsi="Times New Roman"/>
          <w:sz w:val="24"/>
        </w:rPr>
        <w:t xml:space="preserve">. There should be a greater recognition of </w:t>
      </w:r>
      <w:r w:rsidR="00056EB6">
        <w:rPr>
          <w:rFonts w:ascii="Times New Roman" w:hAnsi="Times New Roman"/>
          <w:sz w:val="24"/>
        </w:rPr>
        <w:t>the relevance of</w:t>
      </w:r>
      <w:r w:rsidR="00056EB6" w:rsidRPr="00056EB6">
        <w:rPr>
          <w:rFonts w:ascii="Times New Roman" w:hAnsi="Times New Roman"/>
          <w:sz w:val="24"/>
        </w:rPr>
        <w:t xml:space="preserve"> </w:t>
      </w:r>
      <w:r w:rsidR="00056EB6">
        <w:rPr>
          <w:rFonts w:ascii="Times New Roman" w:hAnsi="Times New Roman"/>
          <w:sz w:val="24"/>
        </w:rPr>
        <w:t xml:space="preserve">embodied </w:t>
      </w:r>
      <w:r w:rsidR="00AF4B05">
        <w:rPr>
          <w:rFonts w:ascii="Times New Roman" w:hAnsi="Times New Roman"/>
          <w:sz w:val="24"/>
        </w:rPr>
        <w:t>impairment</w:t>
      </w:r>
      <w:r w:rsidR="00056EB6">
        <w:rPr>
          <w:rFonts w:ascii="Times New Roman" w:hAnsi="Times New Roman"/>
          <w:sz w:val="24"/>
        </w:rPr>
        <w:t xml:space="preserve"> </w:t>
      </w:r>
      <w:r w:rsidR="00AF4B05">
        <w:rPr>
          <w:rFonts w:ascii="Times New Roman" w:hAnsi="Times New Roman"/>
          <w:sz w:val="24"/>
        </w:rPr>
        <w:t>on an individual level</w:t>
      </w:r>
      <w:r w:rsidR="00057A80">
        <w:rPr>
          <w:rFonts w:ascii="Times New Roman" w:hAnsi="Times New Roman"/>
          <w:sz w:val="24"/>
        </w:rPr>
        <w:t>,</w:t>
      </w:r>
      <w:r w:rsidR="00AF4B05">
        <w:rPr>
          <w:rFonts w:ascii="Times New Roman" w:hAnsi="Times New Roman"/>
          <w:sz w:val="24"/>
        </w:rPr>
        <w:t xml:space="preserve"> and </w:t>
      </w:r>
      <w:r w:rsidR="00057A80">
        <w:rPr>
          <w:rFonts w:ascii="Times New Roman" w:hAnsi="Times New Roman"/>
          <w:sz w:val="24"/>
        </w:rPr>
        <w:t>more significant</w:t>
      </w:r>
      <w:r w:rsidR="00AF4B05">
        <w:rPr>
          <w:rFonts w:ascii="Times New Roman" w:hAnsi="Times New Roman"/>
          <w:sz w:val="24"/>
        </w:rPr>
        <w:t xml:space="preserve"> </w:t>
      </w:r>
      <w:r w:rsidR="00057A80">
        <w:rPr>
          <w:rFonts w:ascii="Times New Roman" w:hAnsi="Times New Roman"/>
          <w:sz w:val="24"/>
        </w:rPr>
        <w:t>scope</w:t>
      </w:r>
      <w:r w:rsidR="00AF4B05">
        <w:rPr>
          <w:rFonts w:ascii="Times New Roman" w:hAnsi="Times New Roman"/>
          <w:sz w:val="24"/>
        </w:rPr>
        <w:t xml:space="preserve"> for the statute to address intersection</w:t>
      </w:r>
      <w:r w:rsidR="00056EB6">
        <w:rPr>
          <w:rFonts w:ascii="Times New Roman" w:hAnsi="Times New Roman"/>
          <w:sz w:val="24"/>
        </w:rPr>
        <w:t>ality</w:t>
      </w:r>
      <w:r w:rsidR="00AF4B05">
        <w:rPr>
          <w:rFonts w:ascii="Times New Roman" w:hAnsi="Times New Roman"/>
          <w:sz w:val="24"/>
        </w:rPr>
        <w:t xml:space="preserve"> within disability discrimination</w:t>
      </w:r>
      <w:r>
        <w:rPr>
          <w:rFonts w:ascii="Times New Roman" w:hAnsi="Times New Roman"/>
          <w:sz w:val="24"/>
        </w:rPr>
        <w:t xml:space="preserve">. </w:t>
      </w:r>
      <w:r w:rsidR="00AF4B05">
        <w:rPr>
          <w:rFonts w:ascii="Times New Roman" w:hAnsi="Times New Roman"/>
          <w:sz w:val="24"/>
        </w:rPr>
        <w:t xml:space="preserve">These two challenges replicate the two </w:t>
      </w:r>
      <w:r w:rsidR="00056EB6">
        <w:rPr>
          <w:rFonts w:ascii="Times New Roman" w:hAnsi="Times New Roman"/>
          <w:sz w:val="24"/>
        </w:rPr>
        <w:t>principal</w:t>
      </w:r>
      <w:r w:rsidR="00AF4B05">
        <w:rPr>
          <w:rFonts w:ascii="Times New Roman" w:hAnsi="Times New Roman"/>
          <w:sz w:val="24"/>
        </w:rPr>
        <w:t xml:space="preserve"> critiques of the social model of disability on which the </w:t>
      </w:r>
      <w:r w:rsidR="00056EB6">
        <w:rPr>
          <w:rFonts w:ascii="Times New Roman" w:hAnsi="Times New Roman"/>
          <w:sz w:val="24"/>
        </w:rPr>
        <w:t>A</w:t>
      </w:r>
      <w:r w:rsidR="00AF4B05">
        <w:rPr>
          <w:rFonts w:ascii="Times New Roman" w:hAnsi="Times New Roman"/>
          <w:sz w:val="24"/>
        </w:rPr>
        <w:t xml:space="preserve">ct is based. </w:t>
      </w:r>
      <w:r>
        <w:rPr>
          <w:rFonts w:ascii="Times New Roman" w:hAnsi="Times New Roman"/>
          <w:sz w:val="24"/>
        </w:rPr>
        <w:t>Finally, for the legislation to be successful, issues of compliance and enforcement that require positive uses of discretion on the part of the civil service should be addressed early on.</w:t>
      </w:r>
    </w:p>
    <w:p w:rsidR="00254BF9" w:rsidRDefault="00254BF9"/>
    <w:p w:rsidR="00271D4B" w:rsidRDefault="00271D4B"/>
    <w:sectPr w:rsidR="00271D4B" w:rsidSect="00254BF9">
      <w:headerReference w:type="even" r:id="rId9"/>
      <w:headerReference w:type="default" r:id="rId10"/>
      <w:pgSz w:w="12240" w:h="15840"/>
      <w:pgMar w:top="1440" w:right="1440" w:bottom="1440" w:left="1440" w:header="709" w:footer="709"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5193" w:rsidRDefault="007B5193" w:rsidP="00BD052D">
      <w:pPr>
        <w:spacing w:after="0" w:line="240" w:lineRule="auto"/>
      </w:pPr>
      <w:r>
        <w:separator/>
      </w:r>
    </w:p>
  </w:endnote>
  <w:endnote w:type="continuationSeparator" w:id="0">
    <w:p w:rsidR="007B5193" w:rsidRDefault="007B5193" w:rsidP="00BD0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5193" w:rsidRDefault="007B5193" w:rsidP="00BD052D">
      <w:pPr>
        <w:spacing w:after="0" w:line="240" w:lineRule="auto"/>
      </w:pPr>
      <w:r>
        <w:separator/>
      </w:r>
    </w:p>
  </w:footnote>
  <w:footnote w:type="continuationSeparator" w:id="0">
    <w:p w:rsidR="007B5193" w:rsidRDefault="007B5193" w:rsidP="00BD052D">
      <w:pPr>
        <w:spacing w:after="0" w:line="240" w:lineRule="auto"/>
      </w:pPr>
      <w:r>
        <w:continuationSeparator/>
      </w:r>
    </w:p>
  </w:footnote>
  <w:footnote w:id="1">
    <w:p w:rsidR="00466B82" w:rsidRPr="005F61B7" w:rsidRDefault="00466B82" w:rsidP="00466B82">
      <w:pPr>
        <w:pStyle w:val="FootnoteText"/>
        <w:rPr>
          <w:rFonts w:ascii="Times New Roman" w:hAnsi="Times New Roman" w:cs="Times New Roman"/>
          <w:sz w:val="20"/>
          <w:szCs w:val="20"/>
        </w:rPr>
      </w:pPr>
      <w:r w:rsidRPr="005F61B7">
        <w:rPr>
          <w:rStyle w:val="FootnoteReference"/>
          <w:rFonts w:ascii="Times New Roman" w:hAnsi="Times New Roman" w:cs="Times New Roman"/>
          <w:sz w:val="20"/>
          <w:szCs w:val="20"/>
        </w:rPr>
        <w:t>*</w:t>
      </w:r>
      <w:r w:rsidRPr="005F61B7">
        <w:rPr>
          <w:rFonts w:ascii="Times New Roman" w:hAnsi="Times New Roman" w:cs="Times New Roman"/>
          <w:sz w:val="20"/>
          <w:szCs w:val="20"/>
        </w:rPr>
        <w:t xml:space="preserve"> </w:t>
      </w:r>
      <w:proofErr w:type="gramStart"/>
      <w:r w:rsidRPr="005F61B7">
        <w:rPr>
          <w:rFonts w:ascii="Times New Roman" w:hAnsi="Times New Roman" w:cs="Times New Roman"/>
          <w:sz w:val="20"/>
          <w:szCs w:val="20"/>
        </w:rPr>
        <w:t>Associate Professor, Faculty of Law, University of Windsor (</w:t>
      </w:r>
      <w:hyperlink r:id="rId1" w:history="1">
        <w:r w:rsidRPr="005F61B7">
          <w:rPr>
            <w:rStyle w:val="Hyperlink"/>
            <w:rFonts w:ascii="Times New Roman" w:hAnsi="Times New Roman" w:cs="Times New Roman"/>
            <w:sz w:val="20"/>
            <w:szCs w:val="20"/>
          </w:rPr>
          <w:t>ljacobs@uwindsor.ca</w:t>
        </w:r>
      </w:hyperlink>
      <w:r w:rsidRPr="005F61B7">
        <w:rPr>
          <w:rFonts w:ascii="Times New Roman" w:hAnsi="Times New Roman" w:cs="Times New Roman"/>
          <w:sz w:val="20"/>
          <w:szCs w:val="20"/>
        </w:rPr>
        <w:t>).</w:t>
      </w:r>
      <w:proofErr w:type="gramEnd"/>
      <w:r w:rsidRPr="005F61B7">
        <w:rPr>
          <w:rFonts w:ascii="Times New Roman" w:hAnsi="Times New Roman" w:cs="Times New Roman"/>
          <w:sz w:val="20"/>
          <w:szCs w:val="20"/>
        </w:rPr>
        <w:t xml:space="preserve"> The authors thank</w:t>
      </w:r>
      <w:r>
        <w:rPr>
          <w:rFonts w:ascii="Times New Roman" w:hAnsi="Times New Roman" w:cs="Times New Roman"/>
          <w:sz w:val="20"/>
          <w:szCs w:val="20"/>
        </w:rPr>
        <w:t xml:space="preserve"> the Social Sciences and Humanities Research Council of Canada for its generous support and</w:t>
      </w:r>
      <w:r w:rsidRPr="005F61B7">
        <w:rPr>
          <w:rFonts w:ascii="Times New Roman" w:hAnsi="Times New Roman" w:cs="Times New Roman"/>
          <w:sz w:val="20"/>
          <w:szCs w:val="20"/>
        </w:rPr>
        <w:t xml:space="preserve"> Chandima Karunanayaka for her invaluable research assistance.</w:t>
      </w:r>
    </w:p>
  </w:footnote>
  <w:footnote w:id="2">
    <w:p w:rsidR="00466B82" w:rsidRPr="005F61B7" w:rsidRDefault="00466B82" w:rsidP="00466B82">
      <w:pPr>
        <w:pStyle w:val="FootnoteText"/>
        <w:rPr>
          <w:rFonts w:ascii="Times New Roman" w:hAnsi="Times New Roman" w:cs="Times New Roman"/>
          <w:sz w:val="20"/>
          <w:szCs w:val="20"/>
        </w:rPr>
      </w:pPr>
      <w:r w:rsidRPr="005F61B7">
        <w:rPr>
          <w:rStyle w:val="FootnoteReference"/>
          <w:rFonts w:ascii="Times New Roman" w:hAnsi="Times New Roman" w:cs="Times New Roman"/>
          <w:sz w:val="20"/>
          <w:szCs w:val="20"/>
        </w:rPr>
        <w:t>**</w:t>
      </w:r>
      <w:r w:rsidRPr="005F61B7">
        <w:rPr>
          <w:rFonts w:ascii="Times New Roman" w:hAnsi="Times New Roman" w:cs="Times New Roman"/>
          <w:sz w:val="20"/>
          <w:szCs w:val="20"/>
        </w:rPr>
        <w:t xml:space="preserve"> </w:t>
      </w:r>
      <w:proofErr w:type="gramStart"/>
      <w:r w:rsidRPr="005F61B7">
        <w:rPr>
          <w:rFonts w:ascii="Times New Roman" w:hAnsi="Times New Roman" w:cs="Times New Roman"/>
          <w:sz w:val="20"/>
          <w:szCs w:val="20"/>
        </w:rPr>
        <w:t>Victoria Cino (JD ‘16), 2015-16 Disability Legal Studies Fellow at Windsor Law.</w:t>
      </w:r>
      <w:proofErr w:type="gramEnd"/>
    </w:p>
  </w:footnote>
  <w:footnote w:id="3">
    <w:p w:rsidR="00466B82" w:rsidRPr="005F61B7" w:rsidRDefault="00466B82" w:rsidP="00466B82">
      <w:pPr>
        <w:pStyle w:val="FootnoteText"/>
        <w:rPr>
          <w:rFonts w:ascii="Times New Roman" w:hAnsi="Times New Roman" w:cs="Times New Roman"/>
          <w:sz w:val="20"/>
          <w:szCs w:val="20"/>
        </w:rPr>
      </w:pPr>
      <w:r w:rsidRPr="005F61B7">
        <w:rPr>
          <w:rStyle w:val="FootnoteReference"/>
          <w:rFonts w:ascii="Times New Roman" w:hAnsi="Times New Roman" w:cs="Times New Roman"/>
          <w:sz w:val="20"/>
          <w:szCs w:val="20"/>
        </w:rPr>
        <w:t>***</w:t>
      </w:r>
      <w:r w:rsidRPr="005F61B7">
        <w:rPr>
          <w:rFonts w:ascii="Times New Roman" w:hAnsi="Times New Roman" w:cs="Times New Roman"/>
          <w:sz w:val="20"/>
          <w:szCs w:val="20"/>
        </w:rPr>
        <w:t xml:space="preserve"> </w:t>
      </w:r>
      <w:proofErr w:type="gramStart"/>
      <w:r w:rsidRPr="005F61B7">
        <w:rPr>
          <w:rFonts w:ascii="Times New Roman" w:hAnsi="Times New Roman" w:cs="Times New Roman"/>
          <w:sz w:val="20"/>
          <w:szCs w:val="20"/>
        </w:rPr>
        <w:t>Britney De Costa (JD/MSW ’16), 2015-16 Disability Legal Studies Fellow at Windsor Law.</w:t>
      </w:r>
      <w:proofErr w:type="gramEnd"/>
    </w:p>
  </w:footnote>
  <w:footnote w:id="4">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proofErr w:type="gramStart"/>
      <w:r w:rsidRPr="00884048">
        <w:rPr>
          <w:rFonts w:ascii="Times New Roman" w:hAnsi="Times New Roman" w:cs="Times New Roman"/>
          <w:i/>
          <w:sz w:val="20"/>
          <w:szCs w:val="20"/>
        </w:rPr>
        <w:t>Accessibility for Manitobans Act</w:t>
      </w:r>
      <w:r w:rsidRPr="00F04CB8">
        <w:rPr>
          <w:rFonts w:ascii="Times New Roman" w:hAnsi="Times New Roman" w:cs="Times New Roman"/>
          <w:sz w:val="20"/>
          <w:szCs w:val="20"/>
        </w:rPr>
        <w:t>, SM 2013 c 40, CCSM c A1.7 [</w:t>
      </w:r>
      <w:r w:rsidRPr="00884048">
        <w:rPr>
          <w:rFonts w:ascii="Times New Roman" w:hAnsi="Times New Roman" w:cs="Times New Roman"/>
          <w:i/>
          <w:sz w:val="20"/>
          <w:szCs w:val="20"/>
        </w:rPr>
        <w:t>A</w:t>
      </w:r>
      <w:r w:rsidRPr="00F04CB8">
        <w:rPr>
          <w:rFonts w:ascii="Times New Roman" w:hAnsi="Times New Roman" w:cs="Times New Roman"/>
          <w:i/>
          <w:sz w:val="20"/>
          <w:szCs w:val="20"/>
        </w:rPr>
        <w:t>MA</w:t>
      </w:r>
      <w:r w:rsidRPr="00F04CB8">
        <w:rPr>
          <w:rFonts w:ascii="Times New Roman" w:hAnsi="Times New Roman" w:cs="Times New Roman"/>
          <w:sz w:val="20"/>
          <w:szCs w:val="20"/>
        </w:rPr>
        <w:t>].</w:t>
      </w:r>
      <w:proofErr w:type="gramEnd"/>
    </w:p>
  </w:footnote>
  <w:footnote w:id="5">
    <w:p w:rsidR="0018676D" w:rsidRPr="005F61B7" w:rsidRDefault="0018676D" w:rsidP="00BD052D">
      <w:pPr>
        <w:pStyle w:val="Header"/>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Ibid </w:t>
      </w:r>
      <w:r w:rsidRPr="00F04CB8">
        <w:rPr>
          <w:rFonts w:ascii="Times New Roman" w:hAnsi="Times New Roman" w:cs="Times New Roman"/>
          <w:sz w:val="20"/>
          <w:szCs w:val="20"/>
        </w:rPr>
        <w:t>at ss 2(1).</w:t>
      </w:r>
      <w:r w:rsidRPr="005F61B7">
        <w:rPr>
          <w:rFonts w:ascii="Times New Roman" w:hAnsi="Times New Roman" w:cs="Times New Roman"/>
          <w:sz w:val="20"/>
          <w:szCs w:val="20"/>
        </w:rPr>
        <w:t xml:space="preserve"> </w:t>
      </w:r>
      <w:r>
        <w:rPr>
          <w:rFonts w:ascii="Times New Roman" w:hAnsi="Times New Roman" w:cs="Times New Roman"/>
          <w:sz w:val="20"/>
          <w:szCs w:val="20"/>
        </w:rPr>
        <w:t xml:space="preserve"> </w:t>
      </w:r>
    </w:p>
  </w:footnote>
  <w:footnote w:id="6">
    <w:p w:rsidR="0018676D" w:rsidRPr="00F04CB8" w:rsidRDefault="0018676D" w:rsidP="00B5726B">
      <w:pPr>
        <w:pStyle w:val="Header"/>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Karine Levasseur, “Unnecessary Delay: Bill 47, the </w:t>
      </w:r>
      <w:r w:rsidRPr="00F04CB8">
        <w:rPr>
          <w:rFonts w:ascii="Times New Roman" w:hAnsi="Times New Roman" w:cs="Times New Roman"/>
          <w:i/>
          <w:sz w:val="20"/>
          <w:szCs w:val="20"/>
        </w:rPr>
        <w:t>Accessibility Advisory Council Act and Amendments to the Government Purchases Act</w:t>
      </w:r>
      <w:r w:rsidRPr="00F04CB8">
        <w:rPr>
          <w:rFonts w:ascii="Times New Roman" w:hAnsi="Times New Roman" w:cs="Times New Roman"/>
          <w:sz w:val="20"/>
          <w:szCs w:val="20"/>
        </w:rPr>
        <w:t>” (2012) 35 Manitoba LJ 1 at 3.</w:t>
      </w:r>
    </w:p>
  </w:footnote>
  <w:footnote w:id="7">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The</w:t>
      </w:r>
      <w:r w:rsidRPr="00F04CB8">
        <w:rPr>
          <w:rFonts w:ascii="Times New Roman" w:hAnsi="Times New Roman" w:cs="Times New Roman"/>
          <w:i/>
          <w:sz w:val="20"/>
          <w:szCs w:val="20"/>
        </w:rPr>
        <w:t xml:space="preserve"> Manitoba</w:t>
      </w:r>
      <w:r w:rsidRPr="00884048">
        <w:rPr>
          <w:rFonts w:ascii="Times New Roman" w:hAnsi="Times New Roman" w:cs="Times New Roman"/>
          <w:i/>
          <w:sz w:val="20"/>
          <w:szCs w:val="20"/>
        </w:rPr>
        <w:t xml:space="preserve"> Human Rights Code</w:t>
      </w:r>
      <w:r w:rsidRPr="00F04CB8">
        <w:rPr>
          <w:rFonts w:ascii="Times New Roman" w:hAnsi="Times New Roman" w:cs="Times New Roman"/>
          <w:sz w:val="20"/>
          <w:szCs w:val="20"/>
        </w:rPr>
        <w:t>, SM 1987-88, c 45, CCSM c H175; For a discussion of the challenges of using human rights codes in Canada and the systemic advantages to adopting accessibility legislation, see Laverne Jacobs, “‘Humanizing’ Disability Law: Citizen Participation in the Development of Accessibility Regulations in Canada” (2016)</w:t>
      </w:r>
      <w:r>
        <w:rPr>
          <w:rFonts w:ascii="Times New Roman" w:hAnsi="Times New Roman" w:cs="Times New Roman"/>
          <w:sz w:val="20"/>
          <w:szCs w:val="20"/>
        </w:rPr>
        <w:t>,</w:t>
      </w:r>
      <w:r w:rsidRPr="00F04CB8">
        <w:rPr>
          <w:rFonts w:ascii="Times New Roman" w:hAnsi="Times New Roman" w:cs="Times New Roman"/>
          <w:sz w:val="20"/>
          <w:szCs w:val="20"/>
        </w:rPr>
        <w:t xml:space="preserve"> in I. Bouhadana, W. Gilles &amp; R. Weaver (eds.), </w:t>
      </w:r>
      <w:r w:rsidRPr="00F04CB8">
        <w:rPr>
          <w:rFonts w:ascii="Times New Roman" w:hAnsi="Times New Roman" w:cs="Times New Roman"/>
          <w:i/>
          <w:sz w:val="20"/>
          <w:szCs w:val="20"/>
        </w:rPr>
        <w:t>Citizen Participation and Collaboration in Promoting Open Government</w:t>
      </w:r>
      <w:r w:rsidRPr="00F04CB8">
        <w:rPr>
          <w:rFonts w:ascii="Times New Roman" w:hAnsi="Times New Roman" w:cs="Times New Roman"/>
          <w:sz w:val="20"/>
          <w:szCs w:val="20"/>
        </w:rPr>
        <w:t xml:space="preserve"> (Carolina Academic Press, 2017) (</w:t>
      </w:r>
      <w:r w:rsidRPr="00884048">
        <w:rPr>
          <w:rFonts w:ascii="Times New Roman" w:hAnsi="Times New Roman" w:cs="Times New Roman"/>
          <w:i/>
          <w:sz w:val="20"/>
          <w:szCs w:val="20"/>
        </w:rPr>
        <w:t>Forthcoming</w:t>
      </w:r>
      <w:r w:rsidRPr="00F04CB8">
        <w:rPr>
          <w:rFonts w:ascii="Times New Roman" w:hAnsi="Times New Roman" w:cs="Times New Roman"/>
          <w:sz w:val="20"/>
          <w:szCs w:val="20"/>
        </w:rPr>
        <w:t>).</w:t>
      </w:r>
    </w:p>
  </w:footnote>
  <w:footnote w:id="8">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Levasseur, </w:t>
      </w:r>
      <w:r w:rsidRPr="00F04CB8">
        <w:rPr>
          <w:rFonts w:ascii="Times New Roman" w:hAnsi="Times New Roman" w:cs="Times New Roman"/>
          <w:i/>
          <w:sz w:val="20"/>
          <w:szCs w:val="20"/>
        </w:rPr>
        <w:t>supra</w:t>
      </w:r>
      <w:r w:rsidRPr="00F04CB8">
        <w:rPr>
          <w:rFonts w:ascii="Times New Roman" w:hAnsi="Times New Roman" w:cs="Times New Roman"/>
          <w:sz w:val="20"/>
          <w:szCs w:val="20"/>
        </w:rPr>
        <w:t xml:space="preserve"> note 3.</w:t>
      </w:r>
    </w:p>
  </w:footnote>
  <w:footnote w:id="9">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First reading of Bill 26, </w:t>
      </w:r>
      <w:r w:rsidRPr="00884048">
        <w:rPr>
          <w:rFonts w:ascii="Times New Roman" w:hAnsi="Times New Roman" w:cs="Times New Roman"/>
          <w:i/>
          <w:sz w:val="20"/>
          <w:szCs w:val="20"/>
        </w:rPr>
        <w:t>The Accessibility for Manitobans Act</w:t>
      </w:r>
      <w:r w:rsidRPr="00F04CB8">
        <w:rPr>
          <w:rFonts w:ascii="Times New Roman" w:hAnsi="Times New Roman" w:cs="Times New Roman"/>
          <w:sz w:val="20"/>
          <w:szCs w:val="20"/>
        </w:rPr>
        <w:t>, 2</w:t>
      </w:r>
      <w:r w:rsidRPr="00884048">
        <w:rPr>
          <w:rFonts w:ascii="Times New Roman" w:hAnsi="Times New Roman" w:cs="Times New Roman"/>
          <w:sz w:val="20"/>
          <w:szCs w:val="20"/>
          <w:vertAlign w:val="superscript"/>
        </w:rPr>
        <w:t>nd</w:t>
      </w:r>
      <w:r w:rsidRPr="00F04CB8">
        <w:rPr>
          <w:rFonts w:ascii="Times New Roman" w:hAnsi="Times New Roman" w:cs="Times New Roman"/>
          <w:sz w:val="20"/>
          <w:szCs w:val="20"/>
        </w:rPr>
        <w:t xml:space="preserve"> Sess, 40</w:t>
      </w:r>
      <w:r w:rsidRPr="00884048">
        <w:rPr>
          <w:rFonts w:ascii="Times New Roman" w:hAnsi="Times New Roman" w:cs="Times New Roman"/>
          <w:sz w:val="20"/>
          <w:szCs w:val="20"/>
          <w:vertAlign w:val="superscript"/>
        </w:rPr>
        <w:t>th</w:t>
      </w:r>
      <w:r w:rsidRPr="00F04CB8">
        <w:rPr>
          <w:rFonts w:ascii="Times New Roman" w:hAnsi="Times New Roman" w:cs="Times New Roman"/>
          <w:sz w:val="20"/>
          <w:szCs w:val="20"/>
        </w:rPr>
        <w:t xml:space="preserve"> Leg, Manitoba, 2013 (assented to 5 December 2013), SM 2013, c 40, CCSM c A1.7, online: </w:t>
      </w:r>
      <w:hyperlink r:id="rId2" w:history="1">
        <w:r w:rsidRPr="00F04CB8">
          <w:rPr>
            <w:rStyle w:val="Hyperlink"/>
            <w:rFonts w:ascii="Times New Roman" w:hAnsi="Times New Roman" w:cs="Times New Roman"/>
            <w:sz w:val="20"/>
            <w:szCs w:val="20"/>
          </w:rPr>
          <w:t>http://www.gov.mb.ca/legislature/hansard/40th_2nd/vol_29/h29.html</w:t>
        </w:r>
      </w:hyperlink>
      <w:r w:rsidRPr="00F04CB8">
        <w:rPr>
          <w:rFonts w:ascii="Times New Roman" w:hAnsi="Times New Roman" w:cs="Times New Roman"/>
          <w:sz w:val="20"/>
          <w:szCs w:val="20"/>
        </w:rPr>
        <w:t>.</w:t>
      </w:r>
    </w:p>
  </w:footnote>
  <w:footnote w:id="10">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For a comprehensive overview of the Ontario government's actions leading up to both the ODA and the AODA, see the “ODA Committee,” online: Ontarians with Disabilities Act </w:t>
      </w:r>
      <w:hyperlink r:id="rId3" w:history="1">
        <w:r w:rsidRPr="00F04CB8">
          <w:rPr>
            <w:rStyle w:val="Hyperlink"/>
            <w:rFonts w:ascii="Times New Roman" w:hAnsi="Times New Roman" w:cs="Times New Roman"/>
            <w:sz w:val="20"/>
            <w:szCs w:val="20"/>
          </w:rPr>
          <w:t>http://www.odacommittee.net/</w:t>
        </w:r>
      </w:hyperlink>
      <w:r w:rsidRPr="00F04CB8">
        <w:rPr>
          <w:rFonts w:ascii="Times New Roman" w:hAnsi="Times New Roman" w:cs="Times New Roman"/>
          <w:sz w:val="20"/>
          <w:szCs w:val="20"/>
        </w:rPr>
        <w:t xml:space="preserve">; see also David Lepofsky, “The Long, Arduous Road to a Barrier-Free Ontario for People with Disabilities: The History of the </w:t>
      </w:r>
      <w:r w:rsidRPr="00F04CB8">
        <w:rPr>
          <w:rFonts w:ascii="Times New Roman" w:hAnsi="Times New Roman" w:cs="Times New Roman"/>
          <w:i/>
          <w:sz w:val="20"/>
          <w:szCs w:val="20"/>
        </w:rPr>
        <w:t>Ontarians with Disabilities Act</w:t>
      </w:r>
      <w:r w:rsidRPr="00F04CB8">
        <w:rPr>
          <w:rFonts w:ascii="Times New Roman" w:hAnsi="Times New Roman" w:cs="Times New Roman"/>
          <w:sz w:val="20"/>
          <w:szCs w:val="20"/>
        </w:rPr>
        <w:t xml:space="preserve">” (2004) 15 NJCL 125 at 1. </w:t>
      </w:r>
    </w:p>
  </w:footnote>
  <w:footnote w:id="11">
    <w:p w:rsidR="0018676D" w:rsidRPr="00F04CB8" w:rsidRDefault="0018676D" w:rsidP="00E57049">
      <w:pPr>
        <w:spacing w:after="0"/>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Code</w:t>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supra</w:t>
      </w:r>
      <w:r w:rsidRPr="00F04CB8">
        <w:rPr>
          <w:rFonts w:ascii="Times New Roman" w:hAnsi="Times New Roman" w:cs="Times New Roman"/>
          <w:sz w:val="20"/>
          <w:szCs w:val="20"/>
        </w:rPr>
        <w:t xml:space="preserve"> note 4 at </w:t>
      </w:r>
      <w:proofErr w:type="spellStart"/>
      <w:r w:rsidRPr="00F04CB8">
        <w:rPr>
          <w:rFonts w:ascii="Times New Roman" w:hAnsi="Times New Roman" w:cs="Times New Roman"/>
          <w:sz w:val="20"/>
          <w:szCs w:val="20"/>
        </w:rPr>
        <w:t>ss</w:t>
      </w:r>
      <w:proofErr w:type="spellEnd"/>
      <w:r w:rsidRPr="00F04CB8">
        <w:rPr>
          <w:rFonts w:ascii="Times New Roman" w:hAnsi="Times New Roman" w:cs="Times New Roman"/>
          <w:sz w:val="20"/>
          <w:szCs w:val="20"/>
        </w:rPr>
        <w:t xml:space="preserve"> 9-18.</w:t>
      </w:r>
    </w:p>
  </w:footnote>
  <w:footnote w:id="12">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Convention on the Rights of Persons with Disabilities,</w:t>
      </w:r>
      <w:r w:rsidRPr="00F04CB8">
        <w:rPr>
          <w:rFonts w:ascii="Times New Roman" w:hAnsi="Times New Roman" w:cs="Times New Roman"/>
          <w:sz w:val="20"/>
          <w:szCs w:val="20"/>
        </w:rPr>
        <w:t xml:space="preserve"> 13 December 2006, </w:t>
      </w:r>
      <w:r w:rsidRPr="00F04CB8">
        <w:rPr>
          <w:rFonts w:ascii="Times New Roman" w:eastAsia="Times New Roman" w:hAnsi="Times New Roman" w:cs="Times New Roman"/>
          <w:sz w:val="20"/>
          <w:szCs w:val="20"/>
        </w:rPr>
        <w:t xml:space="preserve">United Nations, </w:t>
      </w:r>
      <w:r w:rsidRPr="00F04CB8">
        <w:rPr>
          <w:rFonts w:ascii="Times New Roman" w:eastAsia="Times New Roman" w:hAnsi="Times New Roman" w:cs="Times New Roman"/>
          <w:i/>
          <w:iCs/>
          <w:sz w:val="20"/>
          <w:szCs w:val="20"/>
        </w:rPr>
        <w:t>Treaty Series</w:t>
      </w:r>
      <w:r w:rsidRPr="00F04CB8">
        <w:rPr>
          <w:rFonts w:ascii="Times New Roman" w:eastAsia="Times New Roman" w:hAnsi="Times New Roman" w:cs="Times New Roman"/>
          <w:sz w:val="20"/>
          <w:szCs w:val="20"/>
        </w:rPr>
        <w:t xml:space="preserve">, </w:t>
      </w:r>
      <w:hyperlink r:id="rId4" w:tgtFrame="_blank" w:history="1">
        <w:r w:rsidRPr="00F04CB8">
          <w:rPr>
            <w:rStyle w:val="Hyperlink"/>
            <w:rFonts w:ascii="Times New Roman" w:eastAsia="Times New Roman" w:hAnsi="Times New Roman" w:cs="Times New Roman"/>
            <w:sz w:val="20"/>
            <w:szCs w:val="20"/>
          </w:rPr>
          <w:t>vol. 2515</w:t>
        </w:r>
      </w:hyperlink>
      <w:r w:rsidRPr="00F04CB8">
        <w:rPr>
          <w:rFonts w:ascii="Times New Roman" w:eastAsia="Times New Roman" w:hAnsi="Times New Roman" w:cs="Times New Roman"/>
          <w:sz w:val="20"/>
          <w:szCs w:val="20"/>
        </w:rPr>
        <w:t xml:space="preserve">, p. 3; online: </w:t>
      </w:r>
      <w:hyperlink r:id="rId5" w:history="1">
        <w:r w:rsidRPr="00F04CB8">
          <w:rPr>
            <w:rStyle w:val="Hyperlink"/>
            <w:rFonts w:ascii="Times New Roman" w:eastAsia="Times New Roman" w:hAnsi="Times New Roman" w:cs="Times New Roman"/>
            <w:sz w:val="20"/>
            <w:szCs w:val="20"/>
          </w:rPr>
          <w:t>http://www.un.org/disabilities/convention/conventionfull.shtm</w:t>
        </w:r>
        <w:r w:rsidRPr="00F04CB8">
          <w:rPr>
            <w:rStyle w:val="Hyperlink"/>
            <w:rFonts w:ascii="Times New Roman" w:hAnsi="Times New Roman" w:cs="Times New Roman"/>
            <w:sz w:val="20"/>
            <w:szCs w:val="20"/>
          </w:rPr>
          <w:t>l</w:t>
        </w:r>
      </w:hyperlink>
      <w:r w:rsidRPr="00F04CB8">
        <w:rPr>
          <w:rFonts w:ascii="Times New Roman" w:hAnsi="Times New Roman" w:cs="Times New Roman"/>
          <w:sz w:val="20"/>
          <w:szCs w:val="20"/>
        </w:rPr>
        <w:t>.</w:t>
      </w:r>
    </w:p>
  </w:footnote>
  <w:footnote w:id="13">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Part I of the </w:t>
      </w:r>
      <w:r w:rsidRPr="00F04CB8">
        <w:rPr>
          <w:rFonts w:ascii="Times New Roman" w:hAnsi="Times New Roman" w:cs="Times New Roman"/>
          <w:i/>
          <w:sz w:val="20"/>
          <w:szCs w:val="20"/>
        </w:rPr>
        <w:t>Constitution Act</w:t>
      </w:r>
      <w:r w:rsidRPr="00F04CB8">
        <w:rPr>
          <w:rFonts w:ascii="Times New Roman" w:hAnsi="Times New Roman" w:cs="Times New Roman"/>
          <w:sz w:val="20"/>
          <w:szCs w:val="20"/>
        </w:rPr>
        <w:t xml:space="preserve">, 1982, being Schedule B to the </w:t>
      </w:r>
      <w:r w:rsidRPr="00F04CB8">
        <w:rPr>
          <w:rFonts w:ascii="Times New Roman" w:hAnsi="Times New Roman" w:cs="Times New Roman"/>
          <w:i/>
          <w:sz w:val="20"/>
          <w:szCs w:val="20"/>
        </w:rPr>
        <w:t xml:space="preserve">Canada Act 1982 </w:t>
      </w:r>
      <w:r w:rsidRPr="00F04CB8">
        <w:rPr>
          <w:rFonts w:ascii="Times New Roman" w:hAnsi="Times New Roman" w:cs="Times New Roman"/>
          <w:sz w:val="20"/>
          <w:szCs w:val="20"/>
        </w:rPr>
        <w:t>(UK), 1982, c 11 [</w:t>
      </w:r>
      <w:r w:rsidRPr="00F04CB8">
        <w:rPr>
          <w:rFonts w:ascii="Times New Roman" w:hAnsi="Times New Roman" w:cs="Times New Roman"/>
          <w:i/>
          <w:sz w:val="20"/>
          <w:szCs w:val="20"/>
        </w:rPr>
        <w:t>Charter</w:t>
      </w:r>
      <w:r w:rsidRPr="00F04CB8">
        <w:rPr>
          <w:rFonts w:ascii="Times New Roman" w:hAnsi="Times New Roman" w:cs="Times New Roman"/>
          <w:sz w:val="20"/>
          <w:szCs w:val="20"/>
        </w:rPr>
        <w:t>].</w:t>
      </w:r>
    </w:p>
  </w:footnote>
  <w:footnote w:id="14">
    <w:p w:rsidR="0018676D" w:rsidRPr="0088404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Code,</w:t>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supra</w:t>
      </w:r>
      <w:r w:rsidRPr="00F04CB8">
        <w:rPr>
          <w:rFonts w:ascii="Times New Roman" w:hAnsi="Times New Roman" w:cs="Times New Roman"/>
          <w:sz w:val="20"/>
          <w:szCs w:val="20"/>
        </w:rPr>
        <w:t xml:space="preserve"> note 4.</w:t>
      </w:r>
      <w:r>
        <w:rPr>
          <w:rFonts w:ascii="Times New Roman" w:hAnsi="Times New Roman" w:cs="Times New Roman"/>
          <w:sz w:val="20"/>
          <w:szCs w:val="20"/>
        </w:rPr>
        <w:t xml:space="preserve"> </w:t>
      </w:r>
    </w:p>
  </w:footnote>
  <w:footnote w:id="15">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AMA</w:t>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supra</w:t>
      </w:r>
      <w:r w:rsidRPr="00F04CB8">
        <w:rPr>
          <w:rFonts w:ascii="Times New Roman" w:hAnsi="Times New Roman" w:cs="Times New Roman"/>
          <w:sz w:val="20"/>
          <w:szCs w:val="20"/>
        </w:rPr>
        <w:t xml:space="preserve"> note 1 at Preamble.</w:t>
      </w:r>
    </w:p>
  </w:footnote>
  <w:footnote w:id="16">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supra</w:t>
      </w:r>
      <w:r w:rsidRPr="00F04CB8">
        <w:rPr>
          <w:rFonts w:ascii="Times New Roman" w:hAnsi="Times New Roman" w:cs="Times New Roman"/>
          <w:sz w:val="20"/>
          <w:szCs w:val="20"/>
        </w:rPr>
        <w:t xml:space="preserve"> note 1 at </w:t>
      </w:r>
      <w:r w:rsidRPr="0018676D">
        <w:rPr>
          <w:rFonts w:ascii="Times New Roman" w:hAnsi="Times New Roman" w:cs="Times New Roman"/>
          <w:sz w:val="20"/>
          <w:szCs w:val="20"/>
        </w:rPr>
        <w:t>s</w:t>
      </w:r>
      <w:r w:rsidRPr="00F04CB8">
        <w:rPr>
          <w:rFonts w:ascii="Times New Roman" w:hAnsi="Times New Roman" w:cs="Times New Roman"/>
          <w:sz w:val="20"/>
          <w:szCs w:val="20"/>
        </w:rPr>
        <w:t xml:space="preserve"> 2(2).</w:t>
      </w:r>
    </w:p>
  </w:footnote>
  <w:footnote w:id="17">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18676D">
        <w:rPr>
          <w:rFonts w:ascii="Times New Roman" w:hAnsi="Times New Roman" w:cs="Times New Roman"/>
          <w:i/>
          <w:sz w:val="20"/>
          <w:szCs w:val="20"/>
        </w:rPr>
        <w:t>Ibid.</w:t>
      </w:r>
      <w:r w:rsidRPr="00F04CB8">
        <w:rPr>
          <w:rFonts w:ascii="Times New Roman" w:hAnsi="Times New Roman" w:cs="Times New Roman"/>
          <w:sz w:val="20"/>
          <w:szCs w:val="20"/>
        </w:rPr>
        <w:t xml:space="preserve"> </w:t>
      </w:r>
    </w:p>
  </w:footnote>
  <w:footnote w:id="18">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Ibid.</w:t>
      </w:r>
    </w:p>
  </w:footnote>
  <w:footnote w:id="19">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Ibid.</w:t>
      </w:r>
    </w:p>
  </w:footnote>
  <w:footnote w:id="20">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Ibid.</w:t>
      </w:r>
    </w:p>
  </w:footnote>
  <w:footnote w:id="21">
    <w:p w:rsidR="0018676D" w:rsidRPr="00F04CB8" w:rsidRDefault="0018676D" w:rsidP="00E57049">
      <w:pPr>
        <w:spacing w:after="0"/>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However, there is at least one example of guiding principles within a standard developed as a regulation under the primary statute. In Ontario, the Customer Service Standard which was developed under the AODA sets out guiding principles for delivering customer service to persons with disabilities with in the standard. See Ontario’s </w:t>
      </w:r>
      <w:r w:rsidRPr="00F04CB8">
        <w:rPr>
          <w:rFonts w:ascii="Times New Roman" w:hAnsi="Times New Roman" w:cs="Times New Roman"/>
          <w:i/>
          <w:sz w:val="20"/>
          <w:szCs w:val="20"/>
        </w:rPr>
        <w:t>Customer Service Regulation</w:t>
      </w:r>
      <w:r w:rsidRPr="00F04CB8">
        <w:rPr>
          <w:rFonts w:ascii="Times New Roman" w:hAnsi="Times New Roman" w:cs="Times New Roman"/>
          <w:sz w:val="20"/>
          <w:szCs w:val="20"/>
        </w:rPr>
        <w:t xml:space="preserve">, O </w:t>
      </w:r>
      <w:proofErr w:type="spellStart"/>
      <w:r w:rsidRPr="00F04CB8">
        <w:rPr>
          <w:rFonts w:ascii="Times New Roman" w:hAnsi="Times New Roman" w:cs="Times New Roman"/>
          <w:sz w:val="20"/>
          <w:szCs w:val="20"/>
        </w:rPr>
        <w:t>Reg</w:t>
      </w:r>
      <w:proofErr w:type="spellEnd"/>
      <w:r w:rsidRPr="00F04CB8">
        <w:rPr>
          <w:rFonts w:ascii="Times New Roman" w:hAnsi="Times New Roman" w:cs="Times New Roman"/>
          <w:sz w:val="20"/>
          <w:szCs w:val="20"/>
        </w:rPr>
        <w:t xml:space="preserve"> 429/07, </w:t>
      </w:r>
      <w:r w:rsidR="006570A4">
        <w:rPr>
          <w:rFonts w:ascii="Times New Roman" w:hAnsi="Times New Roman" w:cs="Times New Roman"/>
          <w:sz w:val="20"/>
          <w:szCs w:val="20"/>
        </w:rPr>
        <w:t>s</w:t>
      </w:r>
      <w:r>
        <w:rPr>
          <w:rFonts w:ascii="Times New Roman" w:hAnsi="Times New Roman" w:cs="Times New Roman"/>
          <w:sz w:val="20"/>
          <w:szCs w:val="20"/>
        </w:rPr>
        <w:t xml:space="preserve"> </w:t>
      </w:r>
      <w:r w:rsidRPr="00F04CB8">
        <w:rPr>
          <w:rFonts w:ascii="Times New Roman" w:hAnsi="Times New Roman" w:cs="Times New Roman"/>
          <w:sz w:val="20"/>
          <w:szCs w:val="20"/>
        </w:rPr>
        <w:t>3(2) which indicates that the provider of goods and services must provide them in an integrated fashion unless that is not possible, in a manner that respects the dignity and independence of persons with disabilities, and must provide an equal opportunity</w:t>
      </w:r>
      <w:r w:rsidRPr="00F04CB8">
        <w:rPr>
          <w:rFonts w:ascii="Times New Roman" w:hAnsi="Times New Roman" w:cs="Times New Roman"/>
          <w:color w:val="000000"/>
          <w:sz w:val="20"/>
          <w:szCs w:val="20"/>
        </w:rPr>
        <w:t xml:space="preserve"> to obtain use or benefit from the goods or services.</w:t>
      </w:r>
    </w:p>
  </w:footnote>
  <w:footnote w:id="22">
    <w:p w:rsidR="0018676D" w:rsidRPr="005F61B7" w:rsidRDefault="0018676D" w:rsidP="00B5726B">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Brendan Gleeson, </w:t>
      </w:r>
      <w:r w:rsidRPr="00F04CB8">
        <w:rPr>
          <w:rFonts w:ascii="Times New Roman" w:hAnsi="Times New Roman" w:cs="Times New Roman"/>
          <w:i/>
          <w:sz w:val="20"/>
          <w:szCs w:val="20"/>
        </w:rPr>
        <w:t xml:space="preserve">Geographies of Disability </w:t>
      </w:r>
      <w:r w:rsidRPr="00F04CB8">
        <w:rPr>
          <w:rFonts w:ascii="Times New Roman" w:hAnsi="Times New Roman" w:cs="Times New Roman"/>
          <w:sz w:val="20"/>
          <w:szCs w:val="20"/>
        </w:rPr>
        <w:t>(New York: Routledge, 1999) at 177.</w:t>
      </w:r>
    </w:p>
  </w:footnote>
  <w:footnote w:id="23">
    <w:p w:rsidR="0018676D" w:rsidRPr="00884048" w:rsidRDefault="0018676D" w:rsidP="00BD6B7D">
      <w:pPr>
        <w:pStyle w:val="FootnoteText"/>
        <w:rPr>
          <w:rFonts w:ascii="Times New Roman" w:hAnsi="Times New Roman" w:cs="Times New Roman"/>
          <w:sz w:val="20"/>
          <w:szCs w:val="20"/>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w:t>
      </w:r>
      <w:r w:rsidRPr="00884048">
        <w:rPr>
          <w:rFonts w:ascii="Times New Roman" w:hAnsi="Times New Roman" w:cs="Times New Roman"/>
          <w:i/>
          <w:sz w:val="20"/>
          <w:szCs w:val="20"/>
        </w:rPr>
        <w:t>British Columbia (Public Service Employee Relations Commission) v British Columbia Government and Service Employees' Union (B.C.G.S.E.U.) (Meiorin Grievance)</w:t>
      </w:r>
      <w:r w:rsidRPr="00884048">
        <w:rPr>
          <w:rFonts w:ascii="Times New Roman" w:hAnsi="Times New Roman" w:cs="Times New Roman"/>
          <w:sz w:val="20"/>
          <w:szCs w:val="20"/>
        </w:rPr>
        <w:t xml:space="preserve"> 1999 SCC 48, [1999] 3 SCR 3, and </w:t>
      </w:r>
      <w:r w:rsidRPr="00884048">
        <w:rPr>
          <w:rFonts w:ascii="Times New Roman" w:hAnsi="Times New Roman" w:cs="Times New Roman"/>
          <w:i/>
          <w:sz w:val="20"/>
          <w:szCs w:val="20"/>
        </w:rPr>
        <w:t xml:space="preserve">Council of Canadians with Disabilities v VIA Rail Canada </w:t>
      </w:r>
      <w:proofErr w:type="spellStart"/>
      <w:r w:rsidRPr="0018676D">
        <w:rPr>
          <w:rFonts w:ascii="Times New Roman" w:hAnsi="Times New Roman" w:cs="Times New Roman"/>
          <w:i/>
          <w:sz w:val="20"/>
          <w:szCs w:val="20"/>
        </w:rPr>
        <w:t>Inc</w:t>
      </w:r>
      <w:proofErr w:type="spellEnd"/>
      <w:r w:rsidRPr="00884048">
        <w:rPr>
          <w:rFonts w:ascii="Times New Roman" w:hAnsi="Times New Roman" w:cs="Times New Roman"/>
          <w:i/>
          <w:sz w:val="20"/>
          <w:szCs w:val="20"/>
        </w:rPr>
        <w:t xml:space="preserve"> </w:t>
      </w:r>
      <w:r w:rsidRPr="00884048">
        <w:rPr>
          <w:rFonts w:ascii="Times New Roman" w:hAnsi="Times New Roman" w:cs="Times New Roman"/>
          <w:sz w:val="20"/>
          <w:szCs w:val="20"/>
        </w:rPr>
        <w:t>2007 SCC 15</w:t>
      </w:r>
      <w:r w:rsidRPr="004D2F1B">
        <w:rPr>
          <w:rFonts w:ascii="Times New Roman" w:hAnsi="Times New Roman" w:cs="Times New Roman"/>
          <w:sz w:val="20"/>
          <w:szCs w:val="20"/>
        </w:rPr>
        <w:t xml:space="preserve">, 1 SCR 650. </w:t>
      </w:r>
    </w:p>
  </w:footnote>
  <w:footnote w:id="24">
    <w:p w:rsidR="0018676D" w:rsidRPr="005F61B7"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Tom Shakespeare, "The Family of Social Approaches" in</w:t>
      </w:r>
      <w:r w:rsidRPr="00F04CB8">
        <w:rPr>
          <w:rFonts w:ascii="Times New Roman" w:hAnsi="Times New Roman" w:cs="Times New Roman"/>
          <w:i/>
          <w:sz w:val="20"/>
          <w:szCs w:val="20"/>
        </w:rPr>
        <w:t xml:space="preserve"> Disability Rights and Wrongs </w:t>
      </w:r>
      <w:r w:rsidRPr="00F04CB8">
        <w:rPr>
          <w:rFonts w:ascii="Times New Roman" w:hAnsi="Times New Roman" w:cs="Times New Roman"/>
          <w:sz w:val="20"/>
          <w:szCs w:val="20"/>
        </w:rPr>
        <w:t xml:space="preserve">(New York: Routledge, 2006) at 9, (providing this definition and an overview of the evolution of the social model). See also Michael Oliver, </w:t>
      </w:r>
      <w:r w:rsidRPr="00F04CB8">
        <w:rPr>
          <w:rFonts w:ascii="Times New Roman" w:hAnsi="Times New Roman" w:cs="Times New Roman"/>
          <w:i/>
          <w:sz w:val="20"/>
          <w:szCs w:val="20"/>
        </w:rPr>
        <w:t>Politics of Disablement: A Sociological Approach</w:t>
      </w:r>
      <w:r w:rsidRPr="00F04CB8">
        <w:rPr>
          <w:rFonts w:ascii="Times New Roman" w:hAnsi="Times New Roman" w:cs="Times New Roman"/>
          <w:sz w:val="20"/>
          <w:szCs w:val="20"/>
        </w:rPr>
        <w:t xml:space="preserve"> (Basingstoke: Macmillan, 1990)</w:t>
      </w:r>
      <w:r w:rsidRPr="00F04CB8">
        <w:rPr>
          <w:rFonts w:ascii="Times New Roman" w:hAnsi="Times New Roman" w:cs="Times New Roman"/>
          <w:sz w:val="20"/>
          <w:szCs w:val="20"/>
          <w:lang w:val="en-US"/>
        </w:rPr>
        <w:t xml:space="preserve">. See also the recent response to critiques of the social model by Michael Oliver, "The Social Model of Disability: Thirty Years On” (2013) 28 Disability &amp; Society 1024 </w:t>
      </w:r>
      <w:r w:rsidRPr="00F04CB8">
        <w:rPr>
          <w:rFonts w:ascii="Times New Roman" w:hAnsi="Times New Roman" w:cs="Times New Roman"/>
          <w:sz w:val="20"/>
          <w:szCs w:val="20"/>
        </w:rPr>
        <w:t>[Oliver, “Thirty”].</w:t>
      </w:r>
    </w:p>
  </w:footnote>
  <w:footnote w:id="25">
    <w:p w:rsidR="0018676D" w:rsidRPr="00432A09" w:rsidRDefault="0018676D">
      <w:pPr>
        <w:pStyle w:val="FootnoteText"/>
        <w:rPr>
          <w:lang w:val="en-US"/>
        </w:rPr>
      </w:pPr>
      <w:r>
        <w:rPr>
          <w:rStyle w:val="FootnoteReference"/>
        </w:rPr>
        <w:footnoteRef/>
      </w:r>
      <w:r>
        <w:t xml:space="preserve"> </w:t>
      </w:r>
      <w:r w:rsidRPr="00432A09">
        <w:rPr>
          <w:rFonts w:ascii="Times New Roman" w:hAnsi="Times New Roman" w:cs="Times New Roman"/>
          <w:i/>
          <w:sz w:val="20"/>
          <w:szCs w:val="20"/>
        </w:rPr>
        <w:t>AMA, supra</w:t>
      </w:r>
      <w:r w:rsidRPr="00432A09">
        <w:rPr>
          <w:rFonts w:ascii="Times New Roman" w:hAnsi="Times New Roman" w:cs="Times New Roman"/>
          <w:sz w:val="20"/>
          <w:szCs w:val="20"/>
        </w:rPr>
        <w:t xml:space="preserve"> note 1 at s 2(1).</w:t>
      </w:r>
      <w:r>
        <w:t xml:space="preserve"> </w:t>
      </w:r>
    </w:p>
  </w:footnote>
  <w:footnote w:id="26">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sz w:val="20"/>
          <w:szCs w:val="20"/>
          <w:lang w:val="en-US"/>
        </w:rPr>
        <w:t>Carol Thomas, "Disability Theory: Key Ideas, Issues and Thinkers" in</w:t>
      </w:r>
      <w:r w:rsidRPr="00F04CB8">
        <w:rPr>
          <w:rFonts w:ascii="Times New Roman" w:hAnsi="Times New Roman" w:cs="Times New Roman"/>
          <w:i/>
          <w:sz w:val="20"/>
          <w:szCs w:val="20"/>
          <w:lang w:val="en-US"/>
        </w:rPr>
        <w:t xml:space="preserve"> Disability Studies Today</w:t>
      </w:r>
      <w:r w:rsidRPr="00F04CB8">
        <w:rPr>
          <w:rFonts w:ascii="Times New Roman" w:hAnsi="Times New Roman" w:cs="Times New Roman"/>
          <w:sz w:val="20"/>
          <w:szCs w:val="20"/>
          <w:lang w:val="en-US"/>
        </w:rPr>
        <w:t xml:space="preserve"> (Malden, MA: Polity Press, 2002) at 38-57; Tom Shakespeare, "The Social Model of Disability" in Lennard J Davis (ed), </w:t>
      </w:r>
      <w:r w:rsidRPr="00F04CB8">
        <w:rPr>
          <w:rFonts w:ascii="Times New Roman" w:hAnsi="Times New Roman" w:cs="Times New Roman"/>
          <w:i/>
          <w:sz w:val="20"/>
          <w:szCs w:val="20"/>
          <w:lang w:val="en-US"/>
        </w:rPr>
        <w:t>The Disability Studies Reader,</w:t>
      </w:r>
      <w:r w:rsidRPr="00F04CB8">
        <w:rPr>
          <w:rFonts w:ascii="Times New Roman" w:hAnsi="Times New Roman" w:cs="Times New Roman"/>
          <w:sz w:val="20"/>
          <w:szCs w:val="20"/>
          <w:lang w:val="en-US"/>
        </w:rPr>
        <w:t xml:space="preserve"> 4th ed (New York: Routledge, 2013).</w:t>
      </w:r>
    </w:p>
  </w:footnote>
  <w:footnote w:id="27">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Oliver, “Thirty” </w:t>
      </w:r>
      <w:r w:rsidRPr="00F04CB8">
        <w:rPr>
          <w:rFonts w:ascii="Times New Roman" w:hAnsi="Times New Roman" w:cs="Times New Roman"/>
          <w:i/>
          <w:sz w:val="20"/>
          <w:szCs w:val="20"/>
        </w:rPr>
        <w:t>supra</w:t>
      </w:r>
      <w:r w:rsidRPr="00F04CB8">
        <w:rPr>
          <w:rFonts w:ascii="Times New Roman" w:hAnsi="Times New Roman" w:cs="Times New Roman"/>
          <w:sz w:val="20"/>
          <w:szCs w:val="20"/>
        </w:rPr>
        <w:t xml:space="preserve"> note 21 at 1025.</w:t>
      </w:r>
    </w:p>
  </w:footnote>
  <w:footnote w:id="28">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Anita Silvers, “An Essay on Modeling:  The Social Model of Disability” in Christopher D Ralston, and Justin Ho, (eds.), </w:t>
      </w:r>
      <w:r w:rsidRPr="00F04CB8">
        <w:rPr>
          <w:rFonts w:ascii="Times New Roman" w:hAnsi="Times New Roman" w:cs="Times New Roman"/>
          <w:i/>
          <w:sz w:val="20"/>
          <w:szCs w:val="20"/>
        </w:rPr>
        <w:t>Philosophical Reflections on Disability</w:t>
      </w:r>
      <w:r w:rsidRPr="00F04CB8">
        <w:rPr>
          <w:rFonts w:ascii="Times New Roman" w:hAnsi="Times New Roman" w:cs="Times New Roman"/>
          <w:sz w:val="20"/>
          <w:szCs w:val="20"/>
        </w:rPr>
        <w:t xml:space="preserve"> (New York: Springer, 2010), at 19 and 20 [Silvers]. She echoes concerns expressed earlier by scholars such as Sally French. See eg  S French, "Disability, Impairment or Something in Between" in J Swain, S French, C Barnes, C Thomas, (eds), </w:t>
      </w:r>
      <w:r w:rsidRPr="00F04CB8">
        <w:rPr>
          <w:rFonts w:ascii="Times New Roman" w:hAnsi="Times New Roman" w:cs="Times New Roman"/>
          <w:i/>
          <w:sz w:val="20"/>
          <w:szCs w:val="20"/>
        </w:rPr>
        <w:t xml:space="preserve">Disabling Barriers, Enabling Environments </w:t>
      </w:r>
      <w:r w:rsidRPr="00F04CB8">
        <w:rPr>
          <w:rFonts w:ascii="Times New Roman" w:hAnsi="Times New Roman" w:cs="Times New Roman"/>
          <w:sz w:val="20"/>
          <w:szCs w:val="20"/>
        </w:rPr>
        <w:t>(London: Sage, 1993).</w:t>
      </w:r>
    </w:p>
  </w:footnote>
  <w:footnote w:id="29">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For a useful description of episodic disabilities that includes definitions and challenges for workers, see Episodic Disabilities Network, "‘Uncertain Futures’: An Episodic Disabilities Discussion Paper" (March, 2016), online: </w:t>
      </w:r>
      <w:hyperlink r:id="rId6" w:history="1">
        <w:r w:rsidRPr="00F04CB8">
          <w:rPr>
            <w:rStyle w:val="Hyperlink"/>
            <w:rFonts w:ascii="Times New Roman" w:hAnsi="Times New Roman" w:cs="Times New Roman"/>
            <w:sz w:val="20"/>
            <w:szCs w:val="20"/>
          </w:rPr>
          <w:t>http://www.hivandrehab.ca/wp-content/uploads/Uncertain-Futures-An-Episodic-Disabilities-Discussion-Paper.pdf</w:t>
        </w:r>
      </w:hyperlink>
      <w:r w:rsidRPr="00F04CB8">
        <w:rPr>
          <w:rFonts w:ascii="Times New Roman" w:hAnsi="Times New Roman" w:cs="Times New Roman"/>
          <w:sz w:val="20"/>
          <w:szCs w:val="20"/>
        </w:rPr>
        <w:t>.</w:t>
      </w:r>
    </w:p>
  </w:footnote>
  <w:footnote w:id="30">
    <w:p w:rsidR="0018676D" w:rsidRPr="00884048" w:rsidRDefault="0018676D" w:rsidP="005358AF">
      <w:pPr>
        <w:pStyle w:val="FootnoteText"/>
        <w:rPr>
          <w:rFonts w:ascii="Times New Roman" w:hAnsi="Times New Roman" w:cs="Times New Roman"/>
          <w:sz w:val="20"/>
          <w:szCs w:val="20"/>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PART III, Employment Standards, Integrated Accessibility Standards, O. </w:t>
      </w:r>
      <w:proofErr w:type="spellStart"/>
      <w:r w:rsidRPr="00884048">
        <w:rPr>
          <w:rFonts w:ascii="Times New Roman" w:hAnsi="Times New Roman" w:cs="Times New Roman"/>
          <w:sz w:val="20"/>
          <w:szCs w:val="20"/>
        </w:rPr>
        <w:t>Reg</w:t>
      </w:r>
      <w:proofErr w:type="spellEnd"/>
      <w:r w:rsidRPr="00884048">
        <w:rPr>
          <w:rFonts w:ascii="Times New Roman" w:hAnsi="Times New Roman" w:cs="Times New Roman"/>
          <w:sz w:val="20"/>
          <w:szCs w:val="20"/>
        </w:rPr>
        <w:t xml:space="preserve"> 191/11, </w:t>
      </w:r>
      <w:proofErr w:type="spellStart"/>
      <w:r w:rsidRPr="0018676D">
        <w:rPr>
          <w:rFonts w:ascii="Times New Roman" w:hAnsi="Times New Roman" w:cs="Times New Roman"/>
          <w:sz w:val="20"/>
          <w:szCs w:val="20"/>
        </w:rPr>
        <w:t>ss</w:t>
      </w:r>
      <w:proofErr w:type="spellEnd"/>
      <w:r w:rsidRPr="00884048">
        <w:rPr>
          <w:rFonts w:ascii="Times New Roman" w:hAnsi="Times New Roman" w:cs="Times New Roman"/>
          <w:sz w:val="20"/>
          <w:szCs w:val="20"/>
        </w:rPr>
        <w:t xml:space="preserve"> 20-32 [</w:t>
      </w:r>
      <w:r w:rsidRPr="00884048">
        <w:rPr>
          <w:rFonts w:ascii="Times New Roman" w:hAnsi="Times New Roman" w:cs="Times New Roman"/>
          <w:i/>
          <w:sz w:val="20"/>
          <w:szCs w:val="20"/>
        </w:rPr>
        <w:t>AODA Employment Standards</w:t>
      </w:r>
      <w:r w:rsidRPr="00884048">
        <w:rPr>
          <w:rFonts w:ascii="Times New Roman" w:hAnsi="Times New Roman" w:cs="Times New Roman"/>
          <w:sz w:val="20"/>
          <w:szCs w:val="20"/>
        </w:rPr>
        <w:t>].</w:t>
      </w:r>
    </w:p>
  </w:footnote>
  <w:footnote w:id="31">
    <w:p w:rsidR="0018676D" w:rsidRPr="005F61B7"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proofErr w:type="gramStart"/>
      <w:r w:rsidRPr="00F04CB8">
        <w:rPr>
          <w:rFonts w:ascii="Times New Roman" w:hAnsi="Times New Roman" w:cs="Times New Roman"/>
          <w:i/>
          <w:sz w:val="20"/>
          <w:szCs w:val="20"/>
        </w:rPr>
        <w:t>Ibid</w:t>
      </w:r>
      <w:r w:rsidRPr="00F04CB8">
        <w:rPr>
          <w:rFonts w:ascii="Times New Roman" w:hAnsi="Times New Roman" w:cs="Times New Roman"/>
          <w:sz w:val="20"/>
          <w:szCs w:val="20"/>
        </w:rPr>
        <w:t xml:space="preserve"> at s 28</w:t>
      </w:r>
      <w:r>
        <w:rPr>
          <w:rFonts w:ascii="Times New Roman" w:hAnsi="Times New Roman" w:cs="Times New Roman"/>
          <w:sz w:val="20"/>
          <w:szCs w:val="20"/>
        </w:rPr>
        <w:t>.</w:t>
      </w:r>
      <w:proofErr w:type="gramEnd"/>
      <w:r w:rsidRPr="005F61B7">
        <w:rPr>
          <w:rFonts w:ascii="Times New Roman" w:hAnsi="Times New Roman" w:cs="Times New Roman"/>
          <w:sz w:val="20"/>
          <w:szCs w:val="20"/>
        </w:rPr>
        <w:t xml:space="preserve"> </w:t>
      </w:r>
    </w:p>
  </w:footnote>
  <w:footnote w:id="32">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Oliver, “Thirty” </w:t>
      </w:r>
      <w:r w:rsidRPr="00F04CB8">
        <w:rPr>
          <w:rFonts w:ascii="Times New Roman" w:hAnsi="Times New Roman" w:cs="Times New Roman"/>
          <w:i/>
          <w:sz w:val="20"/>
          <w:szCs w:val="20"/>
        </w:rPr>
        <w:t>supra</w:t>
      </w:r>
      <w:r w:rsidRPr="00F04CB8">
        <w:rPr>
          <w:rFonts w:ascii="Times New Roman" w:hAnsi="Times New Roman" w:cs="Times New Roman"/>
          <w:sz w:val="20"/>
          <w:szCs w:val="20"/>
        </w:rPr>
        <w:t xml:space="preserve"> note 21 at 1025.</w:t>
      </w:r>
    </w:p>
  </w:footnote>
  <w:footnote w:id="33">
    <w:p w:rsidR="0018676D" w:rsidRPr="00F04CB8" w:rsidRDefault="0018676D" w:rsidP="00BD052D">
      <w:pPr>
        <w:pStyle w:val="FootnoteText"/>
        <w:rPr>
          <w:rFonts w:ascii="Times New Roman" w:hAnsi="Times New Roman" w:cs="Times New Roman"/>
          <w:i/>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Simi Linton, </w:t>
      </w:r>
      <w:r w:rsidRPr="00F04CB8">
        <w:rPr>
          <w:rFonts w:ascii="Times New Roman" w:hAnsi="Times New Roman" w:cs="Times New Roman"/>
          <w:i/>
          <w:sz w:val="20"/>
          <w:szCs w:val="20"/>
        </w:rPr>
        <w:t xml:space="preserve">Claiming Disability: Knowledge and Identity </w:t>
      </w:r>
      <w:r w:rsidRPr="00F04CB8">
        <w:rPr>
          <w:rFonts w:ascii="Times New Roman" w:hAnsi="Times New Roman" w:cs="Times New Roman"/>
          <w:sz w:val="20"/>
          <w:szCs w:val="20"/>
        </w:rPr>
        <w:t>(New York</w:t>
      </w:r>
      <w:r w:rsidRPr="00F04CB8">
        <w:rPr>
          <w:rFonts w:ascii="Times New Roman" w:hAnsi="Times New Roman" w:cs="Times New Roman"/>
          <w:i/>
          <w:sz w:val="20"/>
          <w:szCs w:val="20"/>
        </w:rPr>
        <w:t xml:space="preserve"> </w:t>
      </w:r>
      <w:r w:rsidRPr="00F04CB8">
        <w:rPr>
          <w:rFonts w:ascii="Times New Roman" w:hAnsi="Times New Roman" w:cs="Times New Roman"/>
          <w:sz w:val="20"/>
          <w:szCs w:val="20"/>
        </w:rPr>
        <w:t>University</w:t>
      </w:r>
      <w:r w:rsidRPr="00F04CB8">
        <w:rPr>
          <w:rFonts w:ascii="Times New Roman" w:hAnsi="Times New Roman" w:cs="Times New Roman"/>
          <w:i/>
          <w:sz w:val="20"/>
          <w:szCs w:val="20"/>
        </w:rPr>
        <w:t xml:space="preserve"> </w:t>
      </w:r>
      <w:r w:rsidRPr="00F04CB8">
        <w:rPr>
          <w:rFonts w:ascii="Times New Roman" w:hAnsi="Times New Roman" w:cs="Times New Roman"/>
          <w:sz w:val="20"/>
          <w:szCs w:val="20"/>
        </w:rPr>
        <w:t>Press</w:t>
      </w:r>
      <w:r w:rsidRPr="00F04CB8">
        <w:rPr>
          <w:rFonts w:ascii="Times New Roman" w:hAnsi="Times New Roman" w:cs="Times New Roman"/>
          <w:i/>
          <w:sz w:val="20"/>
          <w:szCs w:val="20"/>
        </w:rPr>
        <w:t xml:space="preserve">, </w:t>
      </w:r>
      <w:r w:rsidRPr="00F04CB8">
        <w:rPr>
          <w:rFonts w:ascii="Times New Roman" w:hAnsi="Times New Roman" w:cs="Times New Roman"/>
          <w:sz w:val="20"/>
          <w:szCs w:val="20"/>
        </w:rPr>
        <w:t>1998) at 118.</w:t>
      </w:r>
    </w:p>
  </w:footnote>
  <w:footnote w:id="34">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Cass Sunstein, </w:t>
      </w:r>
      <w:r w:rsidRPr="00F04CB8">
        <w:rPr>
          <w:rFonts w:ascii="Times New Roman" w:hAnsi="Times New Roman" w:cs="Times New Roman"/>
          <w:i/>
          <w:sz w:val="20"/>
          <w:szCs w:val="20"/>
        </w:rPr>
        <w:t>Valuing Life: Humanizing the Regulatory State</w:t>
      </w:r>
      <w:r w:rsidRPr="00F04CB8">
        <w:rPr>
          <w:rFonts w:ascii="Times New Roman" w:hAnsi="Times New Roman" w:cs="Times New Roman"/>
          <w:sz w:val="20"/>
          <w:szCs w:val="20"/>
        </w:rPr>
        <w:t xml:space="preserve"> (Chicago: University of Chicago Press, 2014), at 174.  But, for critique of Sunstein’s valuing life framework as it applies in the context of disability access standards, see Jacobs </w:t>
      </w:r>
      <w:r w:rsidRPr="00F04CB8">
        <w:rPr>
          <w:rFonts w:ascii="Times New Roman" w:hAnsi="Times New Roman" w:cs="Times New Roman"/>
          <w:i/>
          <w:sz w:val="20"/>
          <w:szCs w:val="20"/>
        </w:rPr>
        <w:t xml:space="preserve">supra </w:t>
      </w:r>
      <w:r w:rsidRPr="00F04CB8">
        <w:rPr>
          <w:rFonts w:ascii="Times New Roman" w:hAnsi="Times New Roman" w:cs="Times New Roman"/>
          <w:sz w:val="20"/>
          <w:szCs w:val="20"/>
        </w:rPr>
        <w:t>note 4.</w:t>
      </w:r>
    </w:p>
  </w:footnote>
  <w:footnote w:id="35">
    <w:p w:rsidR="0018676D" w:rsidRPr="00F04CB8" w:rsidRDefault="0018676D" w:rsidP="008E07F8">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120580">
        <w:rPr>
          <w:rFonts w:ascii="Times New Roman" w:hAnsi="Times New Roman" w:cs="Times New Roman"/>
          <w:sz w:val="20"/>
          <w:szCs w:val="20"/>
        </w:rPr>
        <w:t xml:space="preserve">Ruby Dhand, </w:t>
      </w:r>
      <w:r w:rsidRPr="0018676D">
        <w:rPr>
          <w:rFonts w:ascii="Times New Roman" w:hAnsi="Times New Roman" w:cs="Times New Roman"/>
          <w:sz w:val="20"/>
          <w:szCs w:val="20"/>
        </w:rPr>
        <w:t>“Access to Justice for Ethno-Racial Psychiatric Consumer/Survivors in Ontario” (2011) 29 Windsor YB Access to Justice 127;</w:t>
      </w:r>
      <w:r>
        <w:rPr>
          <w:rFonts w:ascii="Times New Roman" w:hAnsi="Times New Roman" w:cs="Times New Roman"/>
          <w:sz w:val="20"/>
          <w:szCs w:val="20"/>
        </w:rPr>
        <w:t xml:space="preserve"> </w:t>
      </w:r>
      <w:r w:rsidRPr="00F04CB8">
        <w:rPr>
          <w:rFonts w:ascii="Times New Roman" w:hAnsi="Times New Roman" w:cs="Times New Roman"/>
          <w:sz w:val="20"/>
          <w:szCs w:val="20"/>
        </w:rPr>
        <w:t xml:space="preserve">Cameron Crawford, “Disabling Poverty and Enabling Citizenship: Understanding the Poverty and Exclusion of Canadians with Disabilities” Community-University Research Alliance; Council of Canadians with Disabilities and University of Victoria, online: </w:t>
      </w:r>
    </w:p>
    <w:p w:rsidR="0018676D" w:rsidRPr="00F04CB8" w:rsidRDefault="007B5193" w:rsidP="00862FD8">
      <w:pPr>
        <w:pStyle w:val="FootnoteText"/>
        <w:rPr>
          <w:rFonts w:ascii="Times New Roman" w:hAnsi="Times New Roman" w:cs="Times New Roman"/>
          <w:sz w:val="20"/>
          <w:szCs w:val="20"/>
        </w:rPr>
      </w:pPr>
      <w:hyperlink r:id="rId7" w:history="1">
        <w:r w:rsidR="0018676D" w:rsidRPr="00F04CB8">
          <w:rPr>
            <w:rStyle w:val="Hyperlink"/>
            <w:rFonts w:ascii="Times New Roman" w:hAnsi="Times New Roman" w:cs="Times New Roman"/>
            <w:sz w:val="20"/>
            <w:szCs w:val="20"/>
          </w:rPr>
          <w:t>http://www.ccdonline.ca/en/socialpolicy/poverty-citizenship/demographic-profile/understanding-poverty-exclusion</w:t>
        </w:r>
      </w:hyperlink>
      <w:r w:rsidR="0018676D" w:rsidRPr="00F04CB8">
        <w:rPr>
          <w:rFonts w:ascii="Times New Roman" w:hAnsi="Times New Roman" w:cs="Times New Roman"/>
          <w:sz w:val="20"/>
          <w:szCs w:val="20"/>
        </w:rPr>
        <w:t xml:space="preserve">; John Stapleton, “ The “Welfareization” of Disability Incomes in Ontario: What are the factors causing this trend?” Metcalf Foundation, online: </w:t>
      </w:r>
      <w:hyperlink r:id="rId8" w:history="1">
        <w:r w:rsidR="0018676D" w:rsidRPr="00F04CB8">
          <w:rPr>
            <w:rStyle w:val="Hyperlink"/>
            <w:rFonts w:ascii="Times New Roman" w:hAnsi="Times New Roman" w:cs="Times New Roman"/>
            <w:sz w:val="20"/>
            <w:szCs w:val="20"/>
          </w:rPr>
          <w:t>http://metcalffoundation.com/wp-content/uploads/2013/12/Welfareization-of-Disability-Incomes-in-Ontario.pdf</w:t>
        </w:r>
      </w:hyperlink>
      <w:r w:rsidR="0018676D" w:rsidRPr="00F04CB8">
        <w:rPr>
          <w:rFonts w:ascii="Times New Roman" w:hAnsi="Times New Roman" w:cs="Times New Roman"/>
          <w:sz w:val="20"/>
          <w:szCs w:val="20"/>
        </w:rPr>
        <w:t xml:space="preserve"> ; Amy J Peterson, "Imagining the Possibilities: Qualitative Inquiry at the Intersections of Race, Gender, Disability, and Class" (2012) 25:6 International Journal of Qualitative Studies in Education 801, online: </w:t>
      </w:r>
      <w:hyperlink r:id="rId9" w:history="1">
        <w:r w:rsidR="0018676D" w:rsidRPr="00F04CB8">
          <w:rPr>
            <w:rStyle w:val="Hyperlink"/>
            <w:rFonts w:ascii="Times New Roman" w:hAnsi="Times New Roman" w:cs="Times New Roman"/>
            <w:sz w:val="20"/>
            <w:szCs w:val="20"/>
          </w:rPr>
          <w:t>http://www.tandfonline.com/doi/abs/10.1080/09518398.2011.645513</w:t>
        </w:r>
      </w:hyperlink>
      <w:r w:rsidR="0018676D" w:rsidRPr="00F04CB8">
        <w:rPr>
          <w:rFonts w:ascii="Times New Roman" w:hAnsi="Times New Roman" w:cs="Times New Roman"/>
          <w:sz w:val="20"/>
          <w:szCs w:val="20"/>
        </w:rPr>
        <w:t xml:space="preserve"> and West Coast LEAF, "Able Mothers: The Intersection of Parenting, Disability, &amp; the Law, Summary of Findings" (2015), online:</w:t>
      </w:r>
    </w:p>
    <w:p w:rsidR="0018676D" w:rsidRPr="008E07F8" w:rsidRDefault="007B5193" w:rsidP="008E07F8">
      <w:pPr>
        <w:pStyle w:val="FootnoteText"/>
        <w:rPr>
          <w:rFonts w:ascii="Times New Roman" w:hAnsi="Times New Roman" w:cs="Times New Roman"/>
          <w:sz w:val="20"/>
          <w:szCs w:val="20"/>
        </w:rPr>
      </w:pPr>
      <w:hyperlink r:id="rId10" w:history="1">
        <w:r w:rsidR="0018676D" w:rsidRPr="00F04CB8">
          <w:rPr>
            <w:rStyle w:val="Hyperlink"/>
            <w:rFonts w:ascii="Times New Roman" w:hAnsi="Times New Roman" w:cs="Times New Roman"/>
            <w:sz w:val="20"/>
            <w:szCs w:val="20"/>
          </w:rPr>
          <w:t>http://www.westcoastleaf.org/wp-content/uploads/2015/01/Able-Mothers-Report-Summary-of-Results.pdf</w:t>
        </w:r>
      </w:hyperlink>
      <w:r w:rsidR="0018676D" w:rsidRPr="00F04CB8">
        <w:rPr>
          <w:rFonts w:ascii="Times New Roman" w:hAnsi="Times New Roman" w:cs="Times New Roman"/>
          <w:sz w:val="20"/>
          <w:szCs w:val="20"/>
        </w:rPr>
        <w:t>.</w:t>
      </w:r>
    </w:p>
  </w:footnote>
  <w:footnote w:id="36">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In Manitoba, similar to Ontario, The Lieutenant Governor in Council (Cabinet) makes regulations that create accessibility standards which: “a) prescribe the persons or organizations that are subject to the standard and b) set out measures, policies, practices or other requirements for identifying and removing barriers, and preventing barriers from being established, and c) require the persons or organizations that are subject to the standard to implement those measures, policies, practices or other requirements within the time periods specified in the standard.” See </w:t>
      </w:r>
      <w:proofErr w:type="gramStart"/>
      <w:r w:rsidR="006570A4">
        <w:rPr>
          <w:rFonts w:ascii="Times New Roman" w:hAnsi="Times New Roman" w:cs="Times New Roman"/>
          <w:i/>
          <w:sz w:val="20"/>
          <w:szCs w:val="20"/>
        </w:rPr>
        <w:t>AMA</w:t>
      </w:r>
      <w:r w:rsidRPr="00F04CB8">
        <w:rPr>
          <w:rFonts w:ascii="Times New Roman" w:hAnsi="Times New Roman" w:cs="Times New Roman"/>
          <w:sz w:val="20"/>
          <w:szCs w:val="20"/>
        </w:rPr>
        <w:t>,</w:t>
      </w:r>
      <w:proofErr w:type="gramEnd"/>
      <w:r w:rsidRPr="00F04CB8">
        <w:rPr>
          <w:rFonts w:ascii="Times New Roman" w:hAnsi="Times New Roman" w:cs="Times New Roman"/>
          <w:sz w:val="20"/>
          <w:szCs w:val="20"/>
        </w:rPr>
        <w:t xml:space="preserve"> </w:t>
      </w:r>
      <w:r w:rsidRPr="00432A09">
        <w:rPr>
          <w:rFonts w:ascii="Times New Roman" w:hAnsi="Times New Roman" w:cs="Times New Roman"/>
          <w:i/>
          <w:sz w:val="20"/>
          <w:szCs w:val="20"/>
        </w:rPr>
        <w:t>supra</w:t>
      </w:r>
      <w:r w:rsidRPr="00F04CB8">
        <w:rPr>
          <w:rFonts w:ascii="Times New Roman" w:hAnsi="Times New Roman" w:cs="Times New Roman"/>
          <w:sz w:val="20"/>
          <w:szCs w:val="20"/>
        </w:rPr>
        <w:t xml:space="preserve"> note 1at ss 6(1), (2). </w:t>
      </w:r>
    </w:p>
  </w:footnote>
  <w:footnote w:id="37">
    <w:p w:rsidR="0018676D" w:rsidRPr="005F61B7"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Jacobs </w:t>
      </w:r>
      <w:r w:rsidRPr="00F04CB8">
        <w:rPr>
          <w:rFonts w:ascii="Times New Roman" w:hAnsi="Times New Roman" w:cs="Times New Roman"/>
          <w:i/>
          <w:sz w:val="20"/>
          <w:szCs w:val="20"/>
        </w:rPr>
        <w:t>supra</w:t>
      </w:r>
      <w:r w:rsidRPr="00F04CB8">
        <w:rPr>
          <w:rFonts w:ascii="Times New Roman" w:hAnsi="Times New Roman" w:cs="Times New Roman"/>
          <w:sz w:val="20"/>
          <w:szCs w:val="20"/>
        </w:rPr>
        <w:t xml:space="preserve"> note 4.</w:t>
      </w:r>
    </w:p>
  </w:footnote>
  <w:footnote w:id="38">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Jacobs </w:t>
      </w:r>
      <w:r w:rsidRPr="00F04CB8">
        <w:rPr>
          <w:rFonts w:ascii="Times New Roman" w:hAnsi="Times New Roman" w:cs="Times New Roman"/>
          <w:i/>
          <w:sz w:val="20"/>
          <w:szCs w:val="20"/>
        </w:rPr>
        <w:t>supra</w:t>
      </w:r>
      <w:r w:rsidRPr="00F04CB8">
        <w:rPr>
          <w:rFonts w:ascii="Times New Roman" w:hAnsi="Times New Roman" w:cs="Times New Roman"/>
          <w:sz w:val="20"/>
          <w:szCs w:val="20"/>
        </w:rPr>
        <w:t xml:space="preserve"> note 4 at 1.</w:t>
      </w:r>
    </w:p>
  </w:footnote>
  <w:footnote w:id="39">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proofErr w:type="gramStart"/>
      <w:r w:rsidRPr="00F04CB8">
        <w:rPr>
          <w:rFonts w:ascii="Times New Roman" w:hAnsi="Times New Roman" w:cs="Times New Roman"/>
          <w:sz w:val="20"/>
          <w:szCs w:val="20"/>
        </w:rPr>
        <w:t xml:space="preserve">Taken from s 2 of AODA Customer Service Accessibility Standards Development Committee Terms of Reference, October 14, 2005, online: </w:t>
      </w:r>
      <w:hyperlink r:id="rId11" w:history="1">
        <w:r w:rsidRPr="00F04CB8">
          <w:rPr>
            <w:rStyle w:val="Hyperlink"/>
            <w:rFonts w:ascii="Times New Roman" w:hAnsi="Times New Roman" w:cs="Times New Roman"/>
            <w:sz w:val="20"/>
            <w:szCs w:val="20"/>
          </w:rPr>
          <w:t>https://web.archive.org/web/20060513201642/http://www.mcss.gov.on.ca/accessibility/en/news/reference/customerService.htm</w:t>
        </w:r>
      </w:hyperlink>
      <w:r w:rsidRPr="00F04CB8">
        <w:rPr>
          <w:rFonts w:ascii="Times New Roman" w:hAnsi="Times New Roman" w:cs="Times New Roman"/>
          <w:sz w:val="20"/>
          <w:szCs w:val="20"/>
        </w:rPr>
        <w:t>.</w:t>
      </w:r>
      <w:proofErr w:type="gramEnd"/>
    </w:p>
  </w:footnote>
  <w:footnote w:id="40">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sidRPr="00F04CB8">
        <w:rPr>
          <w:rFonts w:ascii="Times New Roman" w:hAnsi="Times New Roman" w:cs="Times New Roman"/>
          <w:sz w:val="20"/>
          <w:szCs w:val="20"/>
        </w:rPr>
        <w:t>,</w:t>
      </w:r>
      <w:r w:rsidRPr="00884048">
        <w:rPr>
          <w:rFonts w:ascii="Times New Roman" w:hAnsi="Times New Roman" w:cs="Times New Roman"/>
          <w:i/>
          <w:sz w:val="20"/>
          <w:szCs w:val="20"/>
        </w:rPr>
        <w:t xml:space="preserve"> supra</w:t>
      </w:r>
      <w:r w:rsidRPr="00F04CB8">
        <w:rPr>
          <w:rFonts w:ascii="Times New Roman" w:hAnsi="Times New Roman" w:cs="Times New Roman"/>
          <w:sz w:val="20"/>
          <w:szCs w:val="20"/>
        </w:rPr>
        <w:t xml:space="preserve"> note 1 at s 9(5).</w:t>
      </w:r>
    </w:p>
  </w:footnote>
  <w:footnote w:id="41">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432A09">
        <w:rPr>
          <w:rFonts w:ascii="Times New Roman" w:hAnsi="Times New Roman" w:cs="Times New Roman"/>
          <w:sz w:val="20"/>
          <w:szCs w:val="20"/>
        </w:rPr>
        <w:t xml:space="preserve"> </w:t>
      </w:r>
      <w:r w:rsidRPr="00432A09">
        <w:rPr>
          <w:rFonts w:ascii="Times New Roman" w:hAnsi="Times New Roman" w:cs="Times New Roman"/>
          <w:i/>
          <w:sz w:val="20"/>
          <w:szCs w:val="20"/>
        </w:rPr>
        <w:t>AMA</w:t>
      </w:r>
      <w:r w:rsidRPr="00432A09">
        <w:rPr>
          <w:rFonts w:ascii="Times New Roman" w:hAnsi="Times New Roman" w:cs="Times New Roman"/>
          <w:sz w:val="20"/>
          <w:szCs w:val="20"/>
        </w:rPr>
        <w:t xml:space="preserve">, </w:t>
      </w:r>
      <w:r w:rsidRPr="00432A09">
        <w:rPr>
          <w:rFonts w:ascii="Times New Roman" w:hAnsi="Times New Roman" w:cs="Times New Roman"/>
          <w:i/>
          <w:sz w:val="20"/>
          <w:szCs w:val="20"/>
        </w:rPr>
        <w:t xml:space="preserve">supra </w:t>
      </w:r>
      <w:r w:rsidRPr="00432A09">
        <w:rPr>
          <w:rFonts w:ascii="Times New Roman" w:hAnsi="Times New Roman" w:cs="Times New Roman"/>
          <w:sz w:val="20"/>
          <w:szCs w:val="20"/>
        </w:rPr>
        <w:t>note 1 at s 16.</w:t>
      </w:r>
      <w:r w:rsidRPr="00432A09">
        <w:rPr>
          <w:rFonts w:ascii="Times New Roman" w:hAnsi="Times New Roman" w:cs="Times New Roman"/>
          <w:sz w:val="20"/>
          <w:szCs w:val="20"/>
          <w:lang w:eastAsia="en-CA"/>
        </w:rPr>
        <w:t xml:space="preserve"> </w:t>
      </w:r>
      <w:r w:rsidRPr="00F04CB8">
        <w:rPr>
          <w:rFonts w:ascii="Times New Roman" w:hAnsi="Times New Roman" w:cs="Times New Roman"/>
          <w:sz w:val="20"/>
          <w:szCs w:val="20"/>
          <w:lang w:eastAsia="en-CA"/>
        </w:rPr>
        <w:t>S</w:t>
      </w:r>
      <w:r w:rsidRPr="00F04CB8">
        <w:rPr>
          <w:rFonts w:ascii="Times New Roman" w:hAnsi="Times New Roman" w:cs="Times New Roman"/>
          <w:sz w:val="20"/>
          <w:szCs w:val="20"/>
        </w:rPr>
        <w:t xml:space="preserve">ee Manitoba, Customer Service Development Committee, “Initial Recommendations for a Proposed Customer Service Standard to the Minister responsible for Persons with Disabilities” (October 3, 2014), online: </w:t>
      </w:r>
      <w:hyperlink r:id="rId12" w:history="1">
        <w:r w:rsidRPr="00F04CB8">
          <w:rPr>
            <w:rStyle w:val="Hyperlink"/>
            <w:rFonts w:ascii="Times New Roman" w:hAnsi="Times New Roman" w:cs="Times New Roman"/>
            <w:sz w:val="20"/>
            <w:szCs w:val="20"/>
          </w:rPr>
          <w:t>http://www.gov.mb.ca/dio/pdf/CSS_report_to_govt.docx</w:t>
        </w:r>
      </w:hyperlink>
      <w:r w:rsidRPr="00F04CB8">
        <w:rPr>
          <w:rFonts w:ascii="Times New Roman" w:hAnsi="Times New Roman" w:cs="Times New Roman"/>
          <w:sz w:val="20"/>
          <w:szCs w:val="20"/>
        </w:rPr>
        <w:t xml:space="preserve"> . </w:t>
      </w:r>
      <w:r w:rsidRPr="00F04CB8">
        <w:rPr>
          <w:rFonts w:ascii="Times New Roman" w:hAnsi="Times New Roman" w:cs="Times New Roman"/>
          <w:sz w:val="20"/>
          <w:szCs w:val="20"/>
          <w:lang w:eastAsia="en-CA"/>
        </w:rPr>
        <w:t xml:space="preserve">The customer service standard came into effect on November 1, 2015. Full text and information about the regulation may be found online:  </w:t>
      </w:r>
      <w:hyperlink r:id="rId13" w:history="1">
        <w:r w:rsidRPr="00F04CB8">
          <w:rPr>
            <w:rStyle w:val="Hyperlink"/>
            <w:rFonts w:ascii="Times New Roman" w:hAnsi="Times New Roman" w:cs="Times New Roman"/>
            <w:sz w:val="20"/>
            <w:szCs w:val="20"/>
            <w:lang w:eastAsia="en-CA"/>
          </w:rPr>
          <w:t>http://www.accessibilitymb.ca/customer-service-standard.html</w:t>
        </w:r>
      </w:hyperlink>
      <w:r w:rsidRPr="00F04CB8">
        <w:rPr>
          <w:rFonts w:ascii="Times New Roman" w:hAnsi="Times New Roman" w:cs="Times New Roman"/>
          <w:sz w:val="20"/>
          <w:szCs w:val="20"/>
          <w:lang w:eastAsia="en-CA"/>
        </w:rPr>
        <w:t xml:space="preserve"> .</w:t>
      </w:r>
    </w:p>
  </w:footnote>
  <w:footnote w:id="42">
    <w:p w:rsidR="0018676D" w:rsidRPr="00432A09"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432A09">
        <w:rPr>
          <w:rFonts w:ascii="Times New Roman" w:hAnsi="Times New Roman" w:cs="Times New Roman"/>
          <w:sz w:val="20"/>
          <w:szCs w:val="20"/>
        </w:rPr>
        <w:t xml:space="preserve"> </w:t>
      </w:r>
      <w:r w:rsidRPr="00432A09">
        <w:rPr>
          <w:rFonts w:ascii="Times New Roman" w:hAnsi="Times New Roman" w:cs="Times New Roman"/>
          <w:i/>
          <w:sz w:val="20"/>
          <w:szCs w:val="20"/>
        </w:rPr>
        <w:t>AMA</w:t>
      </w:r>
      <w:r w:rsidRPr="00432A09">
        <w:rPr>
          <w:rFonts w:ascii="Times New Roman" w:hAnsi="Times New Roman" w:cs="Times New Roman"/>
          <w:sz w:val="20"/>
          <w:szCs w:val="20"/>
        </w:rPr>
        <w:t xml:space="preserve">, </w:t>
      </w:r>
      <w:r w:rsidRPr="00432A09">
        <w:rPr>
          <w:rFonts w:ascii="Times New Roman" w:hAnsi="Times New Roman" w:cs="Times New Roman"/>
          <w:i/>
          <w:sz w:val="20"/>
          <w:szCs w:val="20"/>
        </w:rPr>
        <w:t>supra</w:t>
      </w:r>
      <w:r w:rsidRPr="00432A09">
        <w:rPr>
          <w:rFonts w:ascii="Times New Roman" w:hAnsi="Times New Roman" w:cs="Times New Roman"/>
          <w:sz w:val="20"/>
          <w:szCs w:val="20"/>
        </w:rPr>
        <w:t xml:space="preserve"> note 1 at s 15 (2).</w:t>
      </w:r>
    </w:p>
  </w:footnote>
  <w:footnote w:id="43">
    <w:p w:rsidR="0018676D" w:rsidRPr="005F61B7"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proofErr w:type="gramStart"/>
      <w:r w:rsidRPr="00884048">
        <w:rPr>
          <w:rFonts w:ascii="Times New Roman" w:hAnsi="Times New Roman" w:cs="Times New Roman"/>
          <w:i/>
          <w:sz w:val="20"/>
          <w:szCs w:val="20"/>
        </w:rPr>
        <w:t>Accessibility for Ontarians with Disabilities Act</w:t>
      </w:r>
      <w:r w:rsidRPr="00F04CB8">
        <w:rPr>
          <w:rFonts w:ascii="Times New Roman" w:hAnsi="Times New Roman" w:cs="Times New Roman"/>
          <w:sz w:val="20"/>
          <w:szCs w:val="20"/>
        </w:rPr>
        <w:t>, SO 2005, c 11 s 8(4).</w:t>
      </w:r>
      <w:proofErr w:type="gramEnd"/>
    </w:p>
  </w:footnote>
  <w:footnote w:id="44">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AMA</w:t>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 xml:space="preserve">supra </w:t>
      </w:r>
      <w:r w:rsidRPr="00F04CB8">
        <w:rPr>
          <w:rFonts w:ascii="Times New Roman" w:hAnsi="Times New Roman" w:cs="Times New Roman"/>
          <w:sz w:val="20"/>
          <w:szCs w:val="20"/>
        </w:rPr>
        <w:t>note 1 at s 1.</w:t>
      </w:r>
    </w:p>
  </w:footnote>
  <w:footnote w:id="45">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8(1).</w:t>
      </w:r>
    </w:p>
  </w:footnote>
  <w:footnote w:id="46">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8(2).</w:t>
      </w:r>
    </w:p>
  </w:footnote>
  <w:footnote w:id="47">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8(4).</w:t>
      </w:r>
    </w:p>
  </w:footnote>
  <w:footnote w:id="48">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8(3).</w:t>
      </w:r>
    </w:p>
  </w:footnote>
  <w:footnote w:id="49">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9(1).</w:t>
      </w:r>
    </w:p>
  </w:footnote>
  <w:footnote w:id="50">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9(2).</w:t>
      </w:r>
    </w:p>
  </w:footnote>
  <w:footnote w:id="51">
    <w:p w:rsidR="0018676D" w:rsidRPr="00884048" w:rsidRDefault="0018676D">
      <w:pPr>
        <w:pStyle w:val="FootnoteText"/>
        <w:rPr>
          <w:rFonts w:ascii="Times New Roman" w:hAnsi="Times New Roman" w:cs="Times New Roman"/>
          <w:sz w:val="20"/>
          <w:szCs w:val="20"/>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w:t>
      </w:r>
      <w:r w:rsidRPr="00884048">
        <w:rPr>
          <w:rFonts w:ascii="Times New Roman" w:hAnsi="Times New Roman" w:cs="Times New Roman"/>
          <w:i/>
          <w:sz w:val="20"/>
          <w:szCs w:val="20"/>
        </w:rPr>
        <w:t>AMA, supra</w:t>
      </w:r>
      <w:r w:rsidRPr="00884048">
        <w:rPr>
          <w:rFonts w:ascii="Times New Roman" w:hAnsi="Times New Roman" w:cs="Times New Roman"/>
          <w:sz w:val="20"/>
          <w:szCs w:val="20"/>
        </w:rPr>
        <w:t xml:space="preserve"> note 1 at s 9(3).</w:t>
      </w:r>
    </w:p>
  </w:footnote>
  <w:footnote w:id="52">
    <w:p w:rsidR="0018676D" w:rsidRPr="00F04CB8" w:rsidRDefault="0018676D" w:rsidP="00BD052D">
      <w:pPr>
        <w:pStyle w:val="NormalWeb"/>
        <w:tabs>
          <w:tab w:val="left" w:pos="2835"/>
        </w:tabs>
        <w:spacing w:before="2" w:after="2"/>
        <w:rPr>
          <w:rFonts w:ascii="Times New Roman" w:hAnsi="Times New Roman"/>
        </w:rPr>
      </w:pPr>
      <w:r w:rsidRPr="00F04CB8">
        <w:rPr>
          <w:rStyle w:val="FootnoteReference"/>
          <w:rFonts w:ascii="Times New Roman" w:hAnsi="Times New Roman"/>
        </w:rPr>
        <w:footnoteRef/>
      </w:r>
      <w:r w:rsidRPr="00F04CB8">
        <w:rPr>
          <w:rFonts w:ascii="Times New Roman" w:hAnsi="Times New Roman"/>
        </w:rPr>
        <w:t xml:space="preserve"> </w:t>
      </w:r>
      <w:r w:rsidRPr="00884048">
        <w:rPr>
          <w:rFonts w:ascii="Times New Roman" w:hAnsi="Times New Roman"/>
          <w:i/>
        </w:rPr>
        <w:t>AMA</w:t>
      </w:r>
      <w:r w:rsidRPr="00F04CB8">
        <w:rPr>
          <w:rFonts w:ascii="Times New Roman" w:hAnsi="Times New Roman"/>
        </w:rPr>
        <w:t xml:space="preserve">, </w:t>
      </w:r>
      <w:r w:rsidRPr="00F04CB8">
        <w:rPr>
          <w:rFonts w:ascii="Times New Roman" w:hAnsi="Times New Roman"/>
          <w:i/>
        </w:rPr>
        <w:t>ibid</w:t>
      </w:r>
      <w:r w:rsidRPr="00F04CB8">
        <w:rPr>
          <w:rFonts w:ascii="Times New Roman" w:hAnsi="Times New Roman"/>
        </w:rPr>
        <w:t xml:space="preserve">. See also Manitoba, Disabilities Issues Office, </w:t>
      </w:r>
      <w:r w:rsidRPr="00F04CB8">
        <w:rPr>
          <w:rFonts w:ascii="Times New Roman" w:hAnsi="Times New Roman"/>
          <w:i/>
        </w:rPr>
        <w:t>Customer Service Accessibility Standards Development Committee: Terms of Reference</w:t>
      </w:r>
      <w:r w:rsidRPr="00F04CB8">
        <w:rPr>
          <w:rFonts w:ascii="Times New Roman" w:hAnsi="Times New Roman"/>
        </w:rPr>
        <w:t xml:space="preserve"> (February 2014) at 3. This requirement of consultation is not repeated in the</w:t>
      </w:r>
      <w:r>
        <w:rPr>
          <w:rFonts w:ascii="Times New Roman" w:hAnsi="Times New Roman"/>
        </w:rPr>
        <w:t xml:space="preserve"> </w:t>
      </w:r>
      <w:r w:rsidRPr="00F04CB8">
        <w:rPr>
          <w:rFonts w:ascii="Times New Roman" w:hAnsi="Times New Roman"/>
        </w:rPr>
        <w:t>Employment Standards Development Committee Terms of Reference presumably because a development committee, distinct from the AAC, was created for the creation of employment standards.</w:t>
      </w:r>
    </w:p>
  </w:footnote>
  <w:footnote w:id="53">
    <w:p w:rsidR="0018676D" w:rsidRPr="00F04CB8" w:rsidRDefault="0018676D" w:rsidP="00BD052D">
      <w:pPr>
        <w:spacing w:after="0" w:line="240" w:lineRule="auto"/>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With respect to the Customer Service Standard, an option was also available to contact the Disabilities Issues Office for alternative means of communicating as seen on some stakeholder websites. See Manitoba Federation of Non-Profit Organizations, “</w:t>
      </w:r>
      <w:r w:rsidRPr="00F04CB8">
        <w:rPr>
          <w:rFonts w:ascii="Times New Roman" w:hAnsi="Times New Roman" w:cs="Times New Roman"/>
          <w:color w:val="393E4F"/>
          <w:sz w:val="20"/>
          <w:szCs w:val="20"/>
          <w:lang w:val="en-US"/>
        </w:rPr>
        <w:t>Customer Service Standards Development Committee invites your feedback (Disabilities Issues Office)”, (9 May 2014), online:</w:t>
      </w:r>
      <w:r>
        <w:rPr>
          <w:rFonts w:ascii="Times New Roman" w:hAnsi="Times New Roman" w:cs="Times New Roman"/>
          <w:color w:val="393E4F"/>
          <w:sz w:val="20"/>
          <w:szCs w:val="20"/>
          <w:lang w:val="en-US"/>
        </w:rPr>
        <w:t xml:space="preserve"> </w:t>
      </w:r>
      <w:r w:rsidRPr="00F04CB8">
        <w:rPr>
          <w:rFonts w:ascii="Times New Roman" w:hAnsi="Times New Roman" w:cs="Times New Roman"/>
          <w:color w:val="525252"/>
          <w:sz w:val="20"/>
          <w:szCs w:val="20"/>
          <w:lang w:val="en-US"/>
        </w:rPr>
        <w:t>&lt;</w:t>
      </w:r>
      <w:hyperlink r:id="rId14" w:history="1">
        <w:r w:rsidRPr="00F04CB8">
          <w:rPr>
            <w:rStyle w:val="Hyperlink"/>
            <w:rFonts w:ascii="Times New Roman" w:hAnsi="Times New Roman" w:cs="Times New Roman"/>
            <w:sz w:val="20"/>
            <w:szCs w:val="20"/>
            <w:lang w:val="en-US"/>
          </w:rPr>
          <w:t>http://www.mfnpo.org/news/customer-service-standards-development-committee-invites-your-feedback-disabilities-issues-office/</w:t>
        </w:r>
      </w:hyperlink>
      <w:r w:rsidRPr="00F04CB8">
        <w:rPr>
          <w:rFonts w:ascii="Times New Roman" w:hAnsi="Times New Roman" w:cs="Times New Roman"/>
          <w:color w:val="525252"/>
          <w:sz w:val="20"/>
          <w:szCs w:val="20"/>
          <w:lang w:val="en-US"/>
        </w:rPr>
        <w:t xml:space="preserve">&gt;; </w:t>
      </w:r>
      <w:r w:rsidRPr="00F04CB8">
        <w:rPr>
          <w:rFonts w:ascii="Times New Roman" w:hAnsi="Times New Roman" w:cs="Times New Roman"/>
          <w:sz w:val="20"/>
          <w:szCs w:val="20"/>
        </w:rPr>
        <w:t>Retail Council of Manitoba, “</w:t>
      </w:r>
      <w:r w:rsidRPr="00F04CB8">
        <w:rPr>
          <w:rFonts w:ascii="Times New Roman" w:hAnsi="Times New Roman" w:cs="Times New Roman"/>
          <w:color w:val="162364"/>
          <w:sz w:val="20"/>
          <w:szCs w:val="20"/>
          <w:lang w:val="en-US"/>
        </w:rPr>
        <w:t>Manitoba Customer Service Accessibility Standard Consultation Underway</w:t>
      </w:r>
      <w:r>
        <w:rPr>
          <w:rFonts w:ascii="Times New Roman" w:hAnsi="Times New Roman" w:cs="Times New Roman"/>
          <w:color w:val="162364"/>
          <w:sz w:val="20"/>
          <w:szCs w:val="20"/>
          <w:lang w:val="en-US"/>
        </w:rPr>
        <w:t>,</w:t>
      </w:r>
      <w:r w:rsidRPr="00F04CB8">
        <w:rPr>
          <w:rFonts w:ascii="Times New Roman" w:hAnsi="Times New Roman" w:cs="Times New Roman"/>
          <w:color w:val="162364"/>
          <w:sz w:val="20"/>
          <w:szCs w:val="20"/>
          <w:lang w:val="en-US"/>
        </w:rPr>
        <w:t xml:space="preserve">” (8 May 2014), online: </w:t>
      </w:r>
      <w:r w:rsidRPr="00F04CB8">
        <w:rPr>
          <w:rFonts w:ascii="Times New Roman" w:hAnsi="Times New Roman" w:cs="Times New Roman"/>
          <w:color w:val="5A5A5A"/>
          <w:sz w:val="20"/>
          <w:szCs w:val="20"/>
          <w:lang w:val="en-US"/>
        </w:rPr>
        <w:t>&lt;</w:t>
      </w:r>
      <w:hyperlink r:id="rId15" w:history="1">
        <w:r w:rsidRPr="00F04CB8">
          <w:rPr>
            <w:rStyle w:val="Hyperlink"/>
            <w:rFonts w:ascii="Times New Roman" w:hAnsi="Times New Roman" w:cs="Times New Roman"/>
            <w:sz w:val="20"/>
            <w:szCs w:val="20"/>
            <w:lang w:val="en-US"/>
          </w:rPr>
          <w:t>http://www.retailcouncil.org/advocacy/manitoba-customer-service-accessibility-standard-consultation-underway</w:t>
        </w:r>
      </w:hyperlink>
      <w:r w:rsidRPr="00F04CB8">
        <w:rPr>
          <w:rFonts w:ascii="Times New Roman" w:hAnsi="Times New Roman" w:cs="Times New Roman"/>
          <w:color w:val="5A5A5A"/>
          <w:sz w:val="20"/>
          <w:szCs w:val="20"/>
          <w:lang w:val="en-US"/>
        </w:rPr>
        <w:t xml:space="preserve">&gt;; </w:t>
      </w:r>
      <w:r w:rsidRPr="00F04CB8">
        <w:rPr>
          <w:rFonts w:ascii="Times New Roman" w:hAnsi="Times New Roman" w:cs="Times New Roman"/>
          <w:sz w:val="20"/>
          <w:szCs w:val="20"/>
        </w:rPr>
        <w:t>Telecommunications Employees Association of Manitoba, “</w:t>
      </w:r>
      <w:r w:rsidRPr="00F04CB8">
        <w:rPr>
          <w:rFonts w:ascii="Times New Roman" w:hAnsi="Times New Roman" w:cs="Times New Roman"/>
          <w:sz w:val="20"/>
          <w:szCs w:val="20"/>
          <w:lang w:val="en-US"/>
        </w:rPr>
        <w:t>Public Consultations re the Accessibility for Manitobans Act</w:t>
      </w:r>
      <w:r>
        <w:rPr>
          <w:rFonts w:ascii="Times New Roman" w:hAnsi="Times New Roman" w:cs="Times New Roman"/>
          <w:sz w:val="20"/>
          <w:szCs w:val="20"/>
          <w:lang w:val="en-US"/>
        </w:rPr>
        <w:t>,</w:t>
      </w:r>
      <w:r w:rsidRPr="00F04CB8">
        <w:rPr>
          <w:rFonts w:ascii="Times New Roman" w:hAnsi="Times New Roman" w:cs="Times New Roman"/>
          <w:sz w:val="20"/>
          <w:szCs w:val="20"/>
          <w:lang w:val="en-US"/>
        </w:rPr>
        <w:t>” (15 May 2014), online: &lt;(</w:t>
      </w:r>
      <w:hyperlink r:id="rId16" w:history="1">
        <w:r w:rsidRPr="00F04CB8">
          <w:rPr>
            <w:rStyle w:val="Hyperlink"/>
            <w:rFonts w:ascii="Times New Roman" w:hAnsi="Times New Roman" w:cs="Times New Roman"/>
            <w:sz w:val="20"/>
            <w:szCs w:val="20"/>
            <w:lang w:val="en-US"/>
          </w:rPr>
          <w:t>http://www.teamunion.mb.ca/renderpage.php?cat=news&amp;subcat=current&amp;id=578</w:t>
        </w:r>
      </w:hyperlink>
      <w:r w:rsidRPr="00F04CB8">
        <w:rPr>
          <w:rFonts w:ascii="Times New Roman" w:hAnsi="Times New Roman" w:cs="Times New Roman"/>
          <w:sz w:val="20"/>
          <w:szCs w:val="20"/>
          <w:lang w:val="en-US"/>
        </w:rPr>
        <w:t>)&gt;.</w:t>
      </w:r>
    </w:p>
  </w:footnote>
  <w:footnote w:id="54">
    <w:p w:rsidR="0018676D" w:rsidRPr="00F04CB8" w:rsidRDefault="0018676D" w:rsidP="00BD052D">
      <w:pPr>
        <w:widowControl w:val="0"/>
        <w:autoSpaceDE w:val="0"/>
        <w:autoSpaceDN w:val="0"/>
        <w:adjustRightInd w:val="0"/>
        <w:spacing w:after="0" w:line="240" w:lineRule="auto"/>
        <w:rPr>
          <w:rFonts w:ascii="Times New Roman" w:hAnsi="Times New Roman" w:cs="Times New Roman"/>
          <w:color w:val="5A5A5A"/>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The call for submissions could be found on the DIO website, archived at:</w:t>
      </w:r>
      <w:r>
        <w:rPr>
          <w:rFonts w:ascii="Times New Roman" w:hAnsi="Times New Roman" w:cs="Times New Roman"/>
          <w:sz w:val="20"/>
          <w:szCs w:val="20"/>
        </w:rPr>
        <w:t xml:space="preserve"> </w:t>
      </w:r>
      <w:hyperlink r:id="rId17" w:history="1">
        <w:r w:rsidRPr="00F04CB8">
          <w:rPr>
            <w:rStyle w:val="Hyperlink"/>
            <w:rFonts w:ascii="Times New Roman" w:hAnsi="Times New Roman" w:cs="Times New Roman"/>
            <w:sz w:val="20"/>
            <w:szCs w:val="20"/>
          </w:rPr>
          <w:t>https://web.archive.org/web/20140606210112/http:/www.gov.mb.ca/dio/</w:t>
        </w:r>
      </w:hyperlink>
      <w:r w:rsidRPr="00F04CB8">
        <w:rPr>
          <w:rFonts w:ascii="Times New Roman" w:hAnsi="Times New Roman" w:cs="Times New Roman"/>
          <w:sz w:val="20"/>
          <w:szCs w:val="20"/>
        </w:rPr>
        <w:t xml:space="preserve"> , and also, for example, on the websites of these stakeholders: Retail Council of Manitoba &lt;</w:t>
      </w:r>
      <w:hyperlink r:id="rId18" w:history="1">
        <w:r w:rsidRPr="00F04CB8">
          <w:rPr>
            <w:rStyle w:val="Hyperlink"/>
            <w:rFonts w:ascii="Times New Roman" w:hAnsi="Times New Roman" w:cs="Times New Roman"/>
            <w:sz w:val="20"/>
            <w:szCs w:val="20"/>
            <w:lang w:val="en-US"/>
          </w:rPr>
          <w:t>http://www.retailcouncil.org/advocacy/manitoba-customer-service-accessibility-standard-consultation-underway</w:t>
        </w:r>
      </w:hyperlink>
      <w:r w:rsidRPr="00F04CB8">
        <w:rPr>
          <w:rFonts w:ascii="Times New Roman" w:hAnsi="Times New Roman" w:cs="Times New Roman"/>
          <w:color w:val="5A5A5A"/>
          <w:sz w:val="20"/>
          <w:szCs w:val="20"/>
          <w:lang w:val="en-US"/>
        </w:rPr>
        <w:t xml:space="preserve">&gt;, </w:t>
      </w:r>
      <w:r w:rsidRPr="00F04CB8">
        <w:rPr>
          <w:rFonts w:ascii="Times New Roman" w:hAnsi="Times New Roman" w:cs="Times New Roman"/>
          <w:sz w:val="20"/>
          <w:szCs w:val="20"/>
        </w:rPr>
        <w:t>Telecommunications Employees Association of Manitoba &lt;</w:t>
      </w:r>
      <w:hyperlink r:id="rId19" w:history="1">
        <w:r w:rsidRPr="00F04CB8">
          <w:rPr>
            <w:rStyle w:val="Hyperlink"/>
            <w:rFonts w:ascii="Times New Roman" w:hAnsi="Times New Roman" w:cs="Times New Roman"/>
            <w:sz w:val="20"/>
            <w:szCs w:val="20"/>
            <w:lang w:val="en-US"/>
          </w:rPr>
          <w:t>http://www.teamunion.mb.ca/renderpage.php?cat=news&amp;subcat=current&amp;id=578</w:t>
        </w:r>
      </w:hyperlink>
      <w:r w:rsidRPr="00F04CB8">
        <w:rPr>
          <w:rFonts w:ascii="Times New Roman" w:hAnsi="Times New Roman" w:cs="Times New Roman"/>
          <w:sz w:val="20"/>
          <w:szCs w:val="20"/>
        </w:rPr>
        <w:t>&gt;, Manitoba Federation of Non-Profit Organizations &lt;</w:t>
      </w:r>
      <w:hyperlink r:id="rId20" w:history="1">
        <w:r w:rsidRPr="00F04CB8">
          <w:rPr>
            <w:rStyle w:val="Hyperlink"/>
            <w:rFonts w:ascii="Times New Roman" w:hAnsi="Times New Roman" w:cs="Times New Roman"/>
            <w:sz w:val="20"/>
            <w:szCs w:val="20"/>
            <w:lang w:val="en-US"/>
          </w:rPr>
          <w:t>http://www.mfnpo.org/news/customer-service-standards-development-committee-invites-your-feedback-disabilities-issues-office/</w:t>
        </w:r>
      </w:hyperlink>
      <w:r w:rsidRPr="00F04CB8">
        <w:rPr>
          <w:rFonts w:ascii="Times New Roman" w:hAnsi="Times New Roman" w:cs="Times New Roman"/>
          <w:sz w:val="20"/>
          <w:szCs w:val="20"/>
        </w:rPr>
        <w:t xml:space="preserve">&gt;. </w:t>
      </w:r>
    </w:p>
  </w:footnote>
  <w:footnote w:id="55">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ss 10(1), (2).</w:t>
      </w:r>
    </w:p>
  </w:footnote>
  <w:footnote w:id="56">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ss 10(3), (4). The synopsis of the standard development process in Manitoba is available at: Manitoba, “How Standards Are Created”, online: &lt;</w:t>
      </w:r>
      <w:hyperlink r:id="rId21" w:history="1">
        <w:r w:rsidRPr="00F04CB8">
          <w:rPr>
            <w:rStyle w:val="Hyperlink"/>
            <w:rFonts w:ascii="Times New Roman" w:hAnsi="Times New Roman" w:cs="Times New Roman"/>
            <w:sz w:val="20"/>
            <w:szCs w:val="20"/>
            <w:lang w:val="en-US"/>
          </w:rPr>
          <w:t>http://www.accessibilitymb.ca/how-standards-are-created.html</w:t>
        </w:r>
      </w:hyperlink>
      <w:r w:rsidRPr="00F04CB8">
        <w:rPr>
          <w:rFonts w:ascii="Times New Roman" w:hAnsi="Times New Roman" w:cs="Times New Roman"/>
          <w:sz w:val="20"/>
          <w:szCs w:val="20"/>
        </w:rPr>
        <w:t>&gt;. It reads:</w:t>
      </w:r>
    </w:p>
    <w:p w:rsidR="0018676D" w:rsidRPr="00F04CB8" w:rsidRDefault="0018676D" w:rsidP="00A70415">
      <w:pPr>
        <w:pStyle w:val="FootnoteText"/>
        <w:rPr>
          <w:rFonts w:ascii="Times New Roman" w:hAnsi="Times New Roman" w:cs="Times New Roman"/>
          <w:sz w:val="20"/>
          <w:szCs w:val="20"/>
        </w:rPr>
      </w:pPr>
      <w:r w:rsidRPr="00F04CB8">
        <w:rPr>
          <w:rFonts w:ascii="Times New Roman" w:hAnsi="Times New Roman" w:cs="Times New Roman"/>
          <w:sz w:val="20"/>
          <w:szCs w:val="20"/>
        </w:rPr>
        <w:t>Steps to create a standard:</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Accessibility Advisory Council (council) develops a discussion paper that serves as the basis for public consultations.</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public provides its feedback both in-person and electronically.</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council uses the public input to prepare a draft standard for the Minister responsible for the AMA (minister).</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minister considers whether to accept the council’s proposal in whole, in part, or with changes.</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government’s response is posted on the DIO’s website for public comment during a 60-day period as required by the AMA.</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council reviews the suggested amendments and provides a report for the minister’s consideration.</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minister makes any final amendments to the proposed standard before it is presented to Cabinet for approval.</w:t>
      </w:r>
    </w:p>
    <w:p w:rsidR="0018676D" w:rsidRPr="00F04CB8" w:rsidRDefault="0018676D" w:rsidP="00E57049">
      <w:pPr>
        <w:pStyle w:val="FootnoteText"/>
        <w:numPr>
          <w:ilvl w:val="0"/>
          <w:numId w:val="9"/>
        </w:numPr>
        <w:rPr>
          <w:rFonts w:ascii="Times New Roman" w:hAnsi="Times New Roman" w:cs="Times New Roman"/>
          <w:sz w:val="20"/>
          <w:szCs w:val="20"/>
        </w:rPr>
      </w:pPr>
      <w:r w:rsidRPr="00F04CB8">
        <w:rPr>
          <w:rFonts w:ascii="Times New Roman" w:hAnsi="Times New Roman" w:cs="Times New Roman"/>
          <w:sz w:val="20"/>
          <w:szCs w:val="20"/>
        </w:rPr>
        <w:t>The standard is enacted as a regulation, and becomes law.</w:t>
      </w:r>
    </w:p>
  </w:footnote>
  <w:footnote w:id="57">
    <w:p w:rsidR="0018676D" w:rsidRPr="00F04CB8" w:rsidRDefault="0018676D" w:rsidP="00376BFF">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Manitoba, Disabilities Issues Office, </w:t>
      </w:r>
      <w:r w:rsidRPr="00F04CB8">
        <w:rPr>
          <w:rFonts w:ascii="Times New Roman" w:hAnsi="Times New Roman" w:cs="Times New Roman"/>
          <w:i/>
          <w:sz w:val="20"/>
          <w:szCs w:val="20"/>
        </w:rPr>
        <w:t>Introducing the Accessibility for Manitobans Act</w:t>
      </w:r>
      <w:r w:rsidRPr="00F04CB8">
        <w:rPr>
          <w:rFonts w:ascii="Times New Roman" w:hAnsi="Times New Roman" w:cs="Times New Roman"/>
          <w:sz w:val="20"/>
          <w:szCs w:val="20"/>
        </w:rPr>
        <w:t xml:space="preserve"> at 13.</w:t>
      </w:r>
    </w:p>
  </w:footnote>
  <w:footnote w:id="58">
    <w:p w:rsidR="0018676D" w:rsidRPr="00F04CB8" w:rsidRDefault="0018676D" w:rsidP="0085090F">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sz w:val="20"/>
          <w:szCs w:val="20"/>
          <w:lang w:eastAsia="en-CA"/>
        </w:rPr>
        <w:t xml:space="preserve">The Customer Service Standard came into effect on November 1, 2015. Full text and information about the regulation may be found online:  </w:t>
      </w:r>
      <w:hyperlink r:id="rId22" w:history="1">
        <w:r w:rsidRPr="00F04CB8">
          <w:rPr>
            <w:rStyle w:val="Hyperlink"/>
            <w:rFonts w:ascii="Times New Roman" w:hAnsi="Times New Roman" w:cs="Times New Roman"/>
            <w:sz w:val="20"/>
            <w:szCs w:val="20"/>
            <w:lang w:eastAsia="en-CA"/>
          </w:rPr>
          <w:t>http://www.accessibilitymb.ca/customer-service-standard.html</w:t>
        </w:r>
      </w:hyperlink>
      <w:r w:rsidRPr="00F04CB8">
        <w:rPr>
          <w:rFonts w:ascii="Times New Roman" w:hAnsi="Times New Roman" w:cs="Times New Roman"/>
          <w:sz w:val="20"/>
          <w:szCs w:val="20"/>
          <w:lang w:eastAsia="en-CA"/>
        </w:rPr>
        <w:t xml:space="preserve"> </w:t>
      </w:r>
    </w:p>
  </w:footnote>
  <w:footnote w:id="59">
    <w:p w:rsidR="0018676D" w:rsidRPr="00F04CB8" w:rsidRDefault="0018676D" w:rsidP="0085090F">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Manitoba, Customer Service Development Committee, “Initial Recommendations for a Proposed Customer Service Standard to the Minister responsible for Persons with Disabilities” (October 3, 2014), online: </w:t>
      </w:r>
      <w:hyperlink r:id="rId23" w:history="1">
        <w:r w:rsidRPr="00F04CB8">
          <w:rPr>
            <w:rStyle w:val="Hyperlink"/>
            <w:rFonts w:ascii="Times New Roman" w:hAnsi="Times New Roman" w:cs="Times New Roman"/>
            <w:sz w:val="20"/>
            <w:szCs w:val="20"/>
          </w:rPr>
          <w:t>http://www.gov.mb.ca/dio/pdf/CSS_report_to_govt.docx</w:t>
        </w:r>
      </w:hyperlink>
      <w:r w:rsidRPr="00F04CB8">
        <w:rPr>
          <w:rFonts w:ascii="Times New Roman" w:hAnsi="Times New Roman" w:cs="Times New Roman"/>
          <w:sz w:val="20"/>
          <w:szCs w:val="20"/>
        </w:rPr>
        <w:t>.</w:t>
      </w:r>
    </w:p>
  </w:footnote>
  <w:footnote w:id="60">
    <w:p w:rsidR="0018676D" w:rsidRPr="00F04CB8" w:rsidRDefault="0018676D" w:rsidP="0085090F">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“Accessible Employment Standard – next area for standard development,” online: </w:t>
      </w:r>
      <w:hyperlink r:id="rId24" w:history="1">
        <w:r w:rsidRPr="00F04CB8">
          <w:rPr>
            <w:rStyle w:val="Hyperlink"/>
            <w:rFonts w:ascii="Times New Roman" w:hAnsi="Times New Roman" w:cs="Times New Roman"/>
            <w:sz w:val="20"/>
            <w:szCs w:val="20"/>
          </w:rPr>
          <w:t>http://www.accessibilitymb.ca/employment-standards.html</w:t>
        </w:r>
      </w:hyperlink>
      <w:r w:rsidRPr="00F04CB8">
        <w:rPr>
          <w:rFonts w:ascii="Times New Roman" w:hAnsi="Times New Roman" w:cs="Times New Roman"/>
          <w:sz w:val="20"/>
          <w:szCs w:val="20"/>
        </w:rPr>
        <w:t>.</w:t>
      </w:r>
    </w:p>
  </w:footnote>
  <w:footnote w:id="61">
    <w:p w:rsidR="0018676D" w:rsidRPr="00884048" w:rsidRDefault="0018676D">
      <w:pPr>
        <w:pStyle w:val="FootnoteText"/>
        <w:rPr>
          <w:rFonts w:ascii="Times New Roman" w:hAnsi="Times New Roman" w:cs="Times New Roman"/>
          <w:b/>
          <w:color w:val="C0504D" w:themeColor="accent2"/>
          <w:sz w:val="20"/>
          <w:szCs w:val="20"/>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w:t>
      </w:r>
      <w:r>
        <w:rPr>
          <w:rFonts w:ascii="Times New Roman" w:hAnsi="Times New Roman" w:cs="Times New Roman"/>
          <w:sz w:val="20"/>
          <w:szCs w:val="20"/>
        </w:rPr>
        <w:t>Letter from Disabilities Issues Office to Deaf Centre Manitoba Inc. (27 April 2015) re</w:t>
      </w:r>
      <w:r w:rsidR="006570A4">
        <w:rPr>
          <w:rFonts w:ascii="Times New Roman" w:hAnsi="Times New Roman" w:cs="Times New Roman"/>
          <w:sz w:val="20"/>
          <w:szCs w:val="20"/>
        </w:rPr>
        <w:t>:</w:t>
      </w:r>
      <w:r>
        <w:rPr>
          <w:rFonts w:ascii="Times New Roman" w:hAnsi="Times New Roman" w:cs="Times New Roman"/>
          <w:sz w:val="20"/>
          <w:szCs w:val="20"/>
        </w:rPr>
        <w:t xml:space="preserve"> Government of Manitoba Proposed Customer Service Accessibility Standard, </w:t>
      </w:r>
      <w:r w:rsidRPr="00884048">
        <w:rPr>
          <w:rFonts w:ascii="Times New Roman" w:hAnsi="Times New Roman" w:cs="Times New Roman"/>
          <w:sz w:val="20"/>
          <w:szCs w:val="20"/>
        </w:rPr>
        <w:t xml:space="preserve">online: </w:t>
      </w:r>
      <w:hyperlink r:id="rId25" w:history="1">
        <w:r w:rsidRPr="00BF5BEE">
          <w:rPr>
            <w:rStyle w:val="Hyperlink"/>
            <w:rFonts w:ascii="Times New Roman" w:hAnsi="Times New Roman" w:cs="Times New Roman"/>
            <w:sz w:val="20"/>
            <w:szCs w:val="20"/>
          </w:rPr>
          <w:t>http://www.deafmanitoba.org/2015/04/government-of-manitoba-proposed.html Disabilities Issues Office</w:t>
        </w:r>
      </w:hyperlink>
      <w:r>
        <w:rPr>
          <w:rFonts w:ascii="Times New Roman" w:hAnsi="Times New Roman" w:cs="Times New Roman"/>
          <w:color w:val="C0504D" w:themeColor="accent2"/>
          <w:sz w:val="20"/>
          <w:szCs w:val="20"/>
        </w:rPr>
        <w:t>.</w:t>
      </w:r>
    </w:p>
  </w:footnote>
  <w:footnote w:id="62">
    <w:p w:rsidR="0018676D" w:rsidRPr="00884048" w:rsidRDefault="0018676D" w:rsidP="00BD052D">
      <w:pPr>
        <w:spacing w:after="0" w:line="240" w:lineRule="auto"/>
        <w:rPr>
          <w:rFonts w:ascii="Times New Roman" w:hAnsi="Times New Roman" w:cs="Times New Roman"/>
          <w:sz w:val="20"/>
          <w:szCs w:val="20"/>
          <w:lang w:val="en-US"/>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Manitoba, Disabilities Issues Office, online: Disabilities Issues Office</w:t>
      </w:r>
      <w:r w:rsidRPr="00884048">
        <w:rPr>
          <w:rFonts w:ascii="Times New Roman" w:hAnsi="Times New Roman" w:cs="Times New Roman"/>
          <w:sz w:val="20"/>
          <w:szCs w:val="20"/>
          <w:lang w:val="en-US"/>
        </w:rPr>
        <w:t xml:space="preserve"> </w:t>
      </w:r>
      <w:hyperlink r:id="rId26" w:history="1">
        <w:r w:rsidRPr="00432A09">
          <w:rPr>
            <w:rStyle w:val="Hyperlink"/>
            <w:rFonts w:ascii="Times New Roman" w:hAnsi="Times New Roman" w:cs="Times New Roman"/>
            <w:color w:val="0000FF"/>
            <w:sz w:val="20"/>
            <w:szCs w:val="20"/>
            <w:lang w:val="en-US"/>
          </w:rPr>
          <w:t>http://www.gov.mb.ca/dio/</w:t>
        </w:r>
      </w:hyperlink>
      <w:r w:rsidRPr="00432A09">
        <w:rPr>
          <w:rFonts w:ascii="Times New Roman" w:hAnsi="Times New Roman" w:cs="Times New Roman"/>
          <w:color w:val="0000FF"/>
          <w:sz w:val="20"/>
          <w:szCs w:val="20"/>
          <w:lang w:val="en-US"/>
        </w:rPr>
        <w:t>.</w:t>
      </w:r>
    </w:p>
  </w:footnote>
  <w:footnote w:id="63">
    <w:p w:rsidR="0018676D" w:rsidRPr="005F61B7" w:rsidRDefault="0018676D" w:rsidP="00BD052D">
      <w:pPr>
        <w:spacing w:after="0" w:line="240" w:lineRule="auto"/>
        <w:rPr>
          <w:rFonts w:ascii="Times New Roman" w:hAnsi="Times New Roman" w:cs="Times New Roman"/>
          <w:sz w:val="20"/>
          <w:szCs w:val="20"/>
          <w:lang w:val="en-US"/>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w:t>
      </w:r>
      <w:r w:rsidRPr="00884048">
        <w:rPr>
          <w:rFonts w:ascii="Times New Roman" w:hAnsi="Times New Roman" w:cs="Times New Roman"/>
          <w:i/>
          <w:sz w:val="20"/>
          <w:szCs w:val="20"/>
          <w:lang w:val="en-US"/>
        </w:rPr>
        <w:t>Ibid.</w:t>
      </w:r>
      <w:r w:rsidRPr="00884048">
        <w:rPr>
          <w:rFonts w:ascii="Times New Roman" w:hAnsi="Times New Roman" w:cs="Times New Roman"/>
          <w:i/>
          <w:color w:val="C0504D" w:themeColor="accent2"/>
          <w:sz w:val="20"/>
          <w:szCs w:val="20"/>
          <w:lang w:val="en-US"/>
        </w:rPr>
        <w:t xml:space="preserve"> </w:t>
      </w:r>
    </w:p>
  </w:footnote>
  <w:footnote w:id="64">
    <w:p w:rsidR="0018676D" w:rsidRPr="00F04CB8" w:rsidRDefault="0018676D" w:rsidP="00BD052D">
      <w:pPr>
        <w:pStyle w:val="NormalWeb"/>
        <w:spacing w:before="2" w:after="2"/>
        <w:rPr>
          <w:rFonts w:ascii="Times New Roman" w:hAnsi="Times New Roman"/>
        </w:rPr>
      </w:pPr>
      <w:r w:rsidRPr="00F04CB8">
        <w:rPr>
          <w:rStyle w:val="FootnoteReference"/>
          <w:rFonts w:ascii="Times New Roman" w:hAnsi="Times New Roman"/>
        </w:rPr>
        <w:footnoteRef/>
      </w:r>
      <w:r w:rsidRPr="00F04CB8">
        <w:rPr>
          <w:rFonts w:ascii="Times New Roman" w:hAnsi="Times New Roman"/>
        </w:rPr>
        <w:t xml:space="preserve"> </w:t>
      </w:r>
      <w:r w:rsidRPr="00884048">
        <w:rPr>
          <w:rFonts w:ascii="Times New Roman" w:hAnsi="Times New Roman"/>
          <w:i/>
        </w:rPr>
        <w:t>AMA, supra</w:t>
      </w:r>
      <w:r w:rsidRPr="00F04CB8">
        <w:rPr>
          <w:rFonts w:ascii="Times New Roman" w:hAnsi="Times New Roman"/>
        </w:rPr>
        <w:t xml:space="preserve"> note 1 at s 11.  Manitoba, Disabilities Issues Office, </w:t>
      </w:r>
      <w:r w:rsidRPr="00F04CB8">
        <w:rPr>
          <w:rFonts w:ascii="Times New Roman" w:hAnsi="Times New Roman"/>
          <w:i/>
        </w:rPr>
        <w:t>Government Response to Recommendations of the Accessibility Advisory Council for a Made-in-Manitoba Accessibility Act</w:t>
      </w:r>
      <w:r w:rsidRPr="00F04CB8">
        <w:rPr>
          <w:rFonts w:ascii="Times New Roman" w:hAnsi="Times New Roman"/>
        </w:rPr>
        <w:t>, by Honourable Jennifer Howard, Minister Responsible for Persons with Disabilities, at 7.</w:t>
      </w:r>
    </w:p>
  </w:footnote>
  <w:footnote w:id="65">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Ibid.</w:t>
      </w:r>
      <w:r w:rsidRPr="00F04CB8">
        <w:rPr>
          <w:rFonts w:ascii="Times New Roman" w:hAnsi="Times New Roman" w:cs="Times New Roman"/>
          <w:sz w:val="20"/>
          <w:szCs w:val="20"/>
        </w:rPr>
        <w:t xml:space="preserve"> </w:t>
      </w:r>
    </w:p>
  </w:footnote>
  <w:footnote w:id="66">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Ibid.</w:t>
      </w:r>
    </w:p>
  </w:footnote>
  <w:footnote w:id="67">
    <w:p w:rsidR="0018676D" w:rsidRPr="00884048" w:rsidRDefault="0018676D">
      <w:pPr>
        <w:pStyle w:val="FootnoteText"/>
        <w:rPr>
          <w:rFonts w:ascii="Times New Roman" w:hAnsi="Times New Roman" w:cs="Times New Roman"/>
          <w:sz w:val="20"/>
          <w:szCs w:val="20"/>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w:t>
      </w:r>
      <w:r w:rsidRPr="00884048">
        <w:rPr>
          <w:rFonts w:ascii="Times New Roman" w:hAnsi="Times New Roman" w:cs="Times New Roman"/>
          <w:i/>
          <w:sz w:val="20"/>
          <w:szCs w:val="20"/>
        </w:rPr>
        <w:t xml:space="preserve">AMA, supra </w:t>
      </w:r>
      <w:r w:rsidRPr="00884048">
        <w:rPr>
          <w:rFonts w:ascii="Times New Roman" w:hAnsi="Times New Roman" w:cs="Times New Roman"/>
          <w:sz w:val="20"/>
          <w:szCs w:val="20"/>
        </w:rPr>
        <w:t>note 1 at s 11(2).</w:t>
      </w:r>
    </w:p>
  </w:footnote>
  <w:footnote w:id="68">
    <w:p w:rsidR="0018676D" w:rsidRPr="00F04CB8" w:rsidRDefault="0018676D" w:rsidP="00D43440">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ss 39(1), (6).</w:t>
      </w:r>
    </w:p>
  </w:footnote>
  <w:footnote w:id="69">
    <w:p w:rsidR="0018676D" w:rsidRPr="00F04CB8" w:rsidRDefault="0018676D" w:rsidP="00D43440">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39(3).</w:t>
      </w:r>
    </w:p>
  </w:footnote>
  <w:footnote w:id="70">
    <w:p w:rsidR="0018676D" w:rsidRPr="005F61B7" w:rsidRDefault="0018676D" w:rsidP="00D43440">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39(4).</w:t>
      </w:r>
    </w:p>
  </w:footnote>
  <w:footnote w:id="71">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Correspondence with the Manitoba Disability Issues Office, June 3, 2016 (notes on file with authors). At that time, research was being conducted on different enforcement models.</w:t>
      </w:r>
    </w:p>
  </w:footnote>
  <w:footnote w:id="72">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20.</w:t>
      </w:r>
    </w:p>
  </w:footnote>
  <w:footnote w:id="73">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 xml:space="preserve">note 1 at ss 6(8). </w:t>
      </w:r>
    </w:p>
  </w:footnote>
  <w:footnote w:id="74">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21.</w:t>
      </w:r>
    </w:p>
  </w:footnote>
  <w:footnote w:id="75">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 xml:space="preserve">note 1 at s 24(1). For information on the role and duties of the director, see </w:t>
      </w:r>
      <w:proofErr w:type="spellStart"/>
      <w:r w:rsidRPr="00F04CB8">
        <w:rPr>
          <w:rFonts w:ascii="Times New Roman" w:hAnsi="Times New Roman" w:cs="Times New Roman"/>
          <w:sz w:val="20"/>
          <w:szCs w:val="20"/>
        </w:rPr>
        <w:t>ss</w:t>
      </w:r>
      <w:proofErr w:type="spellEnd"/>
      <w:r w:rsidRPr="00F04CB8">
        <w:rPr>
          <w:rFonts w:ascii="Times New Roman" w:hAnsi="Times New Roman" w:cs="Times New Roman"/>
          <w:sz w:val="20"/>
          <w:szCs w:val="20"/>
        </w:rPr>
        <w:t xml:space="preserve"> 22(1), (2) and (3).</w:t>
      </w:r>
    </w:p>
  </w:footnote>
  <w:footnote w:id="76">
    <w:p w:rsidR="0018676D" w:rsidRPr="00884048" w:rsidRDefault="0018676D">
      <w:pPr>
        <w:pStyle w:val="FootnoteText"/>
        <w:rPr>
          <w:rFonts w:ascii="Times New Roman" w:hAnsi="Times New Roman" w:cs="Times New Roman"/>
          <w:sz w:val="20"/>
          <w:szCs w:val="20"/>
        </w:rPr>
      </w:pPr>
      <w:r w:rsidRPr="00884048">
        <w:rPr>
          <w:rStyle w:val="FootnoteReference"/>
          <w:rFonts w:ascii="Times New Roman" w:hAnsi="Times New Roman" w:cs="Times New Roman"/>
          <w:sz w:val="20"/>
          <w:szCs w:val="20"/>
        </w:rPr>
        <w:footnoteRef/>
      </w:r>
      <w:r w:rsidRPr="00884048">
        <w:rPr>
          <w:rFonts w:ascii="Times New Roman" w:hAnsi="Times New Roman" w:cs="Times New Roman"/>
          <w:sz w:val="20"/>
          <w:szCs w:val="20"/>
        </w:rPr>
        <w:t xml:space="preserve"> An inspector has the right of entry without a warrant to “any who are subject to the Act or regulations, or any other area where the inspector has reasonable grounds to believe that records or things relevant to the administration or enforcement of this Act or the regulations are kept.” See </w:t>
      </w:r>
      <w:r w:rsidRPr="00F04CB8">
        <w:rPr>
          <w:rFonts w:ascii="Times New Roman" w:hAnsi="Times New Roman" w:cs="Times New Roman"/>
          <w:i/>
          <w:sz w:val="20"/>
          <w:szCs w:val="20"/>
        </w:rPr>
        <w:t>AMA</w:t>
      </w:r>
      <w:r w:rsidRPr="00F04CB8">
        <w:rPr>
          <w:rFonts w:ascii="Times New Roman" w:hAnsi="Times New Roman" w:cs="Times New Roman"/>
          <w:sz w:val="20"/>
          <w:szCs w:val="20"/>
        </w:rPr>
        <w:t>,</w:t>
      </w:r>
      <w:r w:rsidRPr="00884048">
        <w:rPr>
          <w:rFonts w:ascii="Times New Roman" w:hAnsi="Times New Roman" w:cs="Times New Roman"/>
          <w:i/>
          <w:sz w:val="20"/>
          <w:szCs w:val="20"/>
        </w:rPr>
        <w:t xml:space="preserve"> supra</w:t>
      </w:r>
      <w:r w:rsidRPr="00F04CB8">
        <w:rPr>
          <w:rFonts w:ascii="Times New Roman" w:hAnsi="Times New Roman" w:cs="Times New Roman"/>
          <w:sz w:val="20"/>
          <w:szCs w:val="20"/>
        </w:rPr>
        <w:t xml:space="preserve"> note 1 at s 24(2).</w:t>
      </w:r>
    </w:p>
  </w:footnote>
  <w:footnote w:id="77">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 xml:space="preserve">supra </w:t>
      </w:r>
      <w:r w:rsidRPr="00F04CB8">
        <w:rPr>
          <w:rFonts w:ascii="Times New Roman" w:hAnsi="Times New Roman" w:cs="Times New Roman"/>
          <w:sz w:val="20"/>
          <w:szCs w:val="20"/>
        </w:rPr>
        <w:t>note 1 at s 24(3).</w:t>
      </w:r>
    </w:p>
  </w:footnote>
  <w:footnote w:id="78">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sidRPr="00F04CB8">
        <w:rPr>
          <w:rFonts w:ascii="Times New Roman" w:hAnsi="Times New Roman" w:cs="Times New Roman"/>
          <w:sz w:val="20"/>
          <w:szCs w:val="20"/>
        </w:rPr>
        <w:t xml:space="preserve">, </w:t>
      </w:r>
      <w:r w:rsidRPr="00884048">
        <w:rPr>
          <w:rFonts w:ascii="Times New Roman" w:hAnsi="Times New Roman" w:cs="Times New Roman"/>
          <w:i/>
          <w:sz w:val="20"/>
          <w:szCs w:val="20"/>
        </w:rPr>
        <w:t>supra</w:t>
      </w:r>
      <w:r w:rsidRPr="00F04CB8">
        <w:rPr>
          <w:rFonts w:ascii="Times New Roman" w:hAnsi="Times New Roman" w:cs="Times New Roman"/>
          <w:sz w:val="20"/>
          <w:szCs w:val="20"/>
        </w:rPr>
        <w:t xml:space="preserve"> note 1 at s 24(5).</w:t>
      </w:r>
    </w:p>
  </w:footnote>
  <w:footnote w:id="79">
    <w:p w:rsidR="0018676D" w:rsidRPr="005F61B7"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sidRPr="00F04CB8">
        <w:rPr>
          <w:rFonts w:ascii="Times New Roman" w:hAnsi="Times New Roman" w:cs="Times New Roman"/>
          <w:sz w:val="20"/>
          <w:szCs w:val="20"/>
        </w:rPr>
        <w:t>,</w:t>
      </w:r>
      <w:r w:rsidRPr="00884048">
        <w:rPr>
          <w:rFonts w:ascii="Times New Roman" w:hAnsi="Times New Roman" w:cs="Times New Roman"/>
          <w:i/>
          <w:sz w:val="20"/>
          <w:szCs w:val="20"/>
        </w:rPr>
        <w:t xml:space="preserve"> supra</w:t>
      </w:r>
      <w:r w:rsidRPr="00F04CB8">
        <w:rPr>
          <w:rFonts w:ascii="Times New Roman" w:hAnsi="Times New Roman" w:cs="Times New Roman"/>
          <w:sz w:val="20"/>
          <w:szCs w:val="20"/>
        </w:rPr>
        <w:t xml:space="preserve"> note 1 at s 26(2).</w:t>
      </w:r>
    </w:p>
  </w:footnote>
  <w:footnote w:id="80">
    <w:p w:rsidR="0018676D" w:rsidRPr="00432A09" w:rsidRDefault="0018676D">
      <w:pPr>
        <w:pStyle w:val="FootnoteText"/>
        <w:rPr>
          <w:rFonts w:ascii="Times New Roman" w:hAnsi="Times New Roman" w:cs="Times New Roman"/>
          <w:sz w:val="20"/>
          <w:szCs w:val="20"/>
        </w:rPr>
      </w:pPr>
      <w:r w:rsidRPr="00884048">
        <w:rPr>
          <w:rStyle w:val="FootnoteReference"/>
          <w:rFonts w:ascii="Times New Roman" w:hAnsi="Times New Roman" w:cs="Times New Roman"/>
          <w:sz w:val="20"/>
          <w:szCs w:val="20"/>
        </w:rPr>
        <w:footnoteRef/>
      </w:r>
      <w:r w:rsidRPr="00432A09">
        <w:rPr>
          <w:rFonts w:ascii="Times New Roman" w:hAnsi="Times New Roman" w:cs="Times New Roman"/>
          <w:sz w:val="20"/>
          <w:szCs w:val="20"/>
        </w:rPr>
        <w:t xml:space="preserve"> </w:t>
      </w:r>
      <w:r w:rsidRPr="00432A09">
        <w:rPr>
          <w:rFonts w:ascii="Times New Roman" w:hAnsi="Times New Roman" w:cs="Times New Roman"/>
          <w:i/>
          <w:sz w:val="20"/>
          <w:szCs w:val="20"/>
        </w:rPr>
        <w:t>AMA, supra</w:t>
      </w:r>
      <w:r w:rsidRPr="00432A09">
        <w:rPr>
          <w:rFonts w:ascii="Times New Roman" w:hAnsi="Times New Roman" w:cs="Times New Roman"/>
          <w:sz w:val="20"/>
          <w:szCs w:val="20"/>
        </w:rPr>
        <w:t xml:space="preserve"> note 1 at s 22.</w:t>
      </w:r>
    </w:p>
  </w:footnote>
  <w:footnote w:id="81">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884048">
        <w:rPr>
          <w:rFonts w:ascii="Times New Roman" w:hAnsi="Times New Roman" w:cs="Times New Roman"/>
          <w:sz w:val="20"/>
          <w:szCs w:val="20"/>
        </w:rPr>
        <w:t>note 1 at</w:t>
      </w:r>
      <w:r w:rsidRPr="00F04CB8">
        <w:rPr>
          <w:rFonts w:ascii="Times New Roman" w:hAnsi="Times New Roman" w:cs="Times New Roman"/>
          <w:sz w:val="20"/>
          <w:szCs w:val="20"/>
        </w:rPr>
        <w:t xml:space="preserve"> </w:t>
      </w:r>
      <w:proofErr w:type="spellStart"/>
      <w:r w:rsidRPr="00F04CB8">
        <w:rPr>
          <w:rFonts w:ascii="Times New Roman" w:hAnsi="Times New Roman" w:cs="Times New Roman"/>
          <w:sz w:val="20"/>
          <w:szCs w:val="20"/>
        </w:rPr>
        <w:t>ss</w:t>
      </w:r>
      <w:proofErr w:type="spellEnd"/>
      <w:r w:rsidRPr="00F04CB8">
        <w:rPr>
          <w:rFonts w:ascii="Times New Roman" w:hAnsi="Times New Roman" w:cs="Times New Roman"/>
          <w:sz w:val="20"/>
          <w:szCs w:val="20"/>
        </w:rPr>
        <w:t xml:space="preserve"> 28(1)-(6).</w:t>
      </w:r>
    </w:p>
  </w:footnote>
  <w:footnote w:id="82">
    <w:p w:rsidR="0018676D" w:rsidRPr="00F04CB8" w:rsidRDefault="0018676D" w:rsidP="00646BB5">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sidRPr="00F04CB8">
        <w:rPr>
          <w:rFonts w:ascii="Times New Roman" w:hAnsi="Times New Roman" w:cs="Times New Roman"/>
          <w:sz w:val="20"/>
          <w:szCs w:val="20"/>
        </w:rPr>
        <w:t>, supra note 1 at s 30(6).</w:t>
      </w:r>
    </w:p>
  </w:footnote>
  <w:footnote w:id="83">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29(1). Appeals from the penalty can be made to the court on the grounds that the amount of the administrative penalty was not determined in accordance with the regulations, or the amount of the penalty is not justified in the public interest</w:t>
      </w:r>
      <w:r w:rsidRPr="00884048">
        <w:rPr>
          <w:rFonts w:ascii="Times New Roman" w:hAnsi="Times New Roman" w:cs="Times New Roman"/>
          <w:i/>
          <w:sz w:val="20"/>
          <w:szCs w:val="20"/>
        </w:rPr>
        <w:t>.”</w:t>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Pr>
          <w:rFonts w:ascii="Times New Roman" w:hAnsi="Times New Roman" w:cs="Times New Roman"/>
          <w:sz w:val="20"/>
          <w:szCs w:val="20"/>
        </w:rPr>
        <w:t xml:space="preserve">, </w:t>
      </w:r>
      <w:r w:rsidRPr="00884048">
        <w:rPr>
          <w:rFonts w:ascii="Times New Roman" w:hAnsi="Times New Roman" w:cs="Times New Roman"/>
          <w:i/>
          <w:sz w:val="20"/>
          <w:szCs w:val="20"/>
        </w:rPr>
        <w:t xml:space="preserve">supra </w:t>
      </w:r>
      <w:r w:rsidRPr="00F04CB8">
        <w:rPr>
          <w:rFonts w:ascii="Times New Roman" w:hAnsi="Times New Roman" w:cs="Times New Roman"/>
          <w:sz w:val="20"/>
          <w:szCs w:val="20"/>
        </w:rPr>
        <w:t xml:space="preserve">note 1 at </w:t>
      </w:r>
      <w:proofErr w:type="spellStart"/>
      <w:r w:rsidRPr="00F04CB8">
        <w:rPr>
          <w:rFonts w:ascii="Times New Roman" w:hAnsi="Times New Roman" w:cs="Times New Roman"/>
          <w:sz w:val="20"/>
          <w:szCs w:val="20"/>
        </w:rPr>
        <w:t>ss</w:t>
      </w:r>
      <w:proofErr w:type="spellEnd"/>
      <w:r w:rsidRPr="00F04CB8">
        <w:rPr>
          <w:rFonts w:ascii="Times New Roman" w:hAnsi="Times New Roman" w:cs="Times New Roman"/>
          <w:sz w:val="20"/>
          <w:szCs w:val="20"/>
        </w:rPr>
        <w:t xml:space="preserve"> 30(1</w:t>
      </w:r>
      <w:proofErr w:type="gramStart"/>
      <w:r w:rsidRPr="00F04CB8">
        <w:rPr>
          <w:rFonts w:ascii="Times New Roman" w:hAnsi="Times New Roman" w:cs="Times New Roman"/>
          <w:sz w:val="20"/>
          <w:szCs w:val="20"/>
        </w:rPr>
        <w:t>)(</w:t>
      </w:r>
      <w:proofErr w:type="gramEnd"/>
      <w:r w:rsidRPr="00F04CB8">
        <w:rPr>
          <w:rFonts w:ascii="Times New Roman" w:hAnsi="Times New Roman" w:cs="Times New Roman"/>
          <w:sz w:val="20"/>
          <w:szCs w:val="20"/>
        </w:rPr>
        <w:t>b) and 30(2)(b).</w:t>
      </w:r>
    </w:p>
  </w:footnote>
  <w:footnote w:id="84">
    <w:p w:rsidR="0018676D" w:rsidRPr="00F04CB8"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AMA</w:t>
      </w:r>
      <w:r w:rsidRPr="00F04CB8">
        <w:rPr>
          <w:rFonts w:ascii="Times New Roman" w:hAnsi="Times New Roman" w:cs="Times New Roman"/>
          <w:sz w:val="20"/>
          <w:szCs w:val="20"/>
        </w:rPr>
        <w:t>,</w:t>
      </w:r>
      <w:r w:rsidRPr="00884048">
        <w:rPr>
          <w:rFonts w:ascii="Times New Roman" w:hAnsi="Times New Roman" w:cs="Times New Roman"/>
          <w:i/>
          <w:sz w:val="20"/>
          <w:szCs w:val="20"/>
        </w:rPr>
        <w:t xml:space="preserve"> supra</w:t>
      </w:r>
      <w:r w:rsidRPr="00F04CB8">
        <w:rPr>
          <w:rFonts w:ascii="Times New Roman" w:hAnsi="Times New Roman" w:cs="Times New Roman"/>
          <w:sz w:val="20"/>
          <w:szCs w:val="20"/>
        </w:rPr>
        <w:t xml:space="preserve"> note 1 at s 31(4).</w:t>
      </w:r>
    </w:p>
  </w:footnote>
  <w:footnote w:id="85">
    <w:p w:rsidR="0018676D" w:rsidRPr="005F61B7" w:rsidRDefault="0018676D" w:rsidP="00BD052D">
      <w:pPr>
        <w:pStyle w:val="FootnoteText"/>
        <w:rPr>
          <w:rFonts w:ascii="Times New Roman" w:hAnsi="Times New Roman" w:cs="Times New Roman"/>
          <w:sz w:val="20"/>
          <w:szCs w:val="20"/>
          <w:lang w:val="en-US"/>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w:t>
      </w:r>
      <w:r w:rsidRPr="00F04CB8">
        <w:rPr>
          <w:rFonts w:ascii="Times New Roman" w:hAnsi="Times New Roman" w:cs="Times New Roman"/>
          <w:i/>
          <w:sz w:val="20"/>
          <w:szCs w:val="20"/>
        </w:rPr>
        <w:t xml:space="preserve">AMA, supra </w:t>
      </w:r>
      <w:r w:rsidRPr="00F04CB8">
        <w:rPr>
          <w:rFonts w:ascii="Times New Roman" w:hAnsi="Times New Roman" w:cs="Times New Roman"/>
          <w:sz w:val="20"/>
          <w:szCs w:val="20"/>
        </w:rPr>
        <w:t>note 1 at s 32.</w:t>
      </w:r>
    </w:p>
  </w:footnote>
  <w:footnote w:id="86">
    <w:p w:rsidR="0018676D" w:rsidRPr="00F04CB8"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Laurie Monsebraaten, “Ontario vows to enforce accessibility law: Businesses flout requirements to report on how they are meeting needs of customers with disabilities, while enforcement strategy lags” Toronto Star, February 20, 2014.</w:t>
      </w:r>
    </w:p>
  </w:footnote>
  <w:footnote w:id="87">
    <w:p w:rsidR="0018676D" w:rsidRPr="005F61B7" w:rsidRDefault="0018676D" w:rsidP="00BD052D">
      <w:pPr>
        <w:pStyle w:val="FootnoteText"/>
        <w:rPr>
          <w:rFonts w:ascii="Times New Roman" w:hAnsi="Times New Roman" w:cs="Times New Roman"/>
          <w:sz w:val="20"/>
          <w:szCs w:val="20"/>
        </w:rPr>
      </w:pPr>
      <w:r w:rsidRPr="00F04CB8">
        <w:rPr>
          <w:rStyle w:val="FootnoteReference"/>
          <w:rFonts w:ascii="Times New Roman" w:hAnsi="Times New Roman" w:cs="Times New Roman"/>
          <w:sz w:val="20"/>
          <w:szCs w:val="20"/>
        </w:rPr>
        <w:footnoteRef/>
      </w:r>
      <w:r w:rsidRPr="00F04CB8">
        <w:rPr>
          <w:rFonts w:ascii="Times New Roman" w:hAnsi="Times New Roman" w:cs="Times New Roman"/>
          <w:sz w:val="20"/>
          <w:szCs w:val="20"/>
        </w:rPr>
        <w:t xml:space="preserve"> AODA Alliance, “A Sad Game-Changer for 1.8 Million Ontarians with Disabilities” (June 7, 2016), online: </w:t>
      </w:r>
      <w:hyperlink r:id="rId27" w:history="1">
        <w:r w:rsidRPr="00F04CB8">
          <w:rPr>
            <w:rStyle w:val="Hyperlink"/>
            <w:rFonts w:ascii="Times New Roman" w:hAnsi="Times New Roman" w:cs="Times New Roman"/>
            <w:sz w:val="20"/>
            <w:szCs w:val="20"/>
          </w:rPr>
          <w:t>http://www.aodaalliance.org/strong-effective-aoda/06072016.asp</w:t>
        </w:r>
      </w:hyperlink>
      <w:r w:rsidRPr="00F04CB8">
        <w:rPr>
          <w:rFonts w:ascii="Times New Roman" w:hAnsi="Times New Roman" w:cs="Times New Roman"/>
          <w:sz w:val="20"/>
          <w:szCs w:val="20"/>
        </w:rPr>
        <w:t xml:space="preserve"> and Michelle Mcquigge, “New Ontario customer service accessibility rules inadequate, advocacy group says” City News, June 6, 2016</w:t>
      </w:r>
      <w:r>
        <w:rPr>
          <w:rFonts w:ascii="Times New Roman" w:hAnsi="Times New Roman" w:cs="Times New Roman"/>
          <w:sz w:val="20"/>
          <w:szCs w:val="20"/>
        </w:rPr>
        <w:t xml:space="preserve">, online: </w:t>
      </w:r>
      <w:hyperlink r:id="rId28" w:history="1">
        <w:r w:rsidRPr="00BF5BEE">
          <w:rPr>
            <w:rStyle w:val="Hyperlink"/>
            <w:rFonts w:ascii="Times New Roman" w:hAnsi="Times New Roman" w:cs="Times New Roman"/>
            <w:sz w:val="20"/>
            <w:szCs w:val="20"/>
          </w:rPr>
          <w:t>http://www.citynews.ca/2016/06/06/broader-accessibility-training-coming-for-staff-at-ontario-companies/</w:t>
        </w:r>
      </w:hyperlink>
      <w:r>
        <w:rPr>
          <w:rFonts w:ascii="Times New Roman" w:hAnsi="Times New Roman" w:cs="Times New Roman"/>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76D" w:rsidRDefault="0018676D" w:rsidP="00254BF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8676D" w:rsidRDefault="0018676D" w:rsidP="00254BF9">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76D" w:rsidRDefault="0018676D" w:rsidP="00254BF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A1204">
      <w:rPr>
        <w:rStyle w:val="PageNumber"/>
        <w:noProof/>
      </w:rPr>
      <w:t>16</w:t>
    </w:r>
    <w:r>
      <w:rPr>
        <w:rStyle w:val="PageNumber"/>
      </w:rPr>
      <w:fldChar w:fldCharType="end"/>
    </w:r>
  </w:p>
  <w:p w:rsidR="0018676D" w:rsidRPr="00466B82" w:rsidRDefault="00466B82" w:rsidP="00254BF9">
    <w:pPr>
      <w:pStyle w:val="Header"/>
      <w:ind w:right="360"/>
      <w:rPr>
        <w:rFonts w:ascii="Times New Roman" w:hAnsi="Times New Roman"/>
        <w:sz w:val="16"/>
      </w:rPr>
    </w:pPr>
    <w:r w:rsidRPr="00466B82">
      <w:rPr>
        <w:rFonts w:ascii="Times New Roman" w:hAnsi="Times New Roman"/>
        <w:sz w:val="16"/>
      </w:rPr>
      <w:t xml:space="preserve">Jacobs, Cino &amp; </w:t>
    </w:r>
    <w:proofErr w:type="spellStart"/>
    <w:r w:rsidRPr="00466B82">
      <w:rPr>
        <w:rFonts w:ascii="Times New Roman" w:hAnsi="Times New Roman"/>
        <w:sz w:val="16"/>
      </w:rPr>
      <w:t>DeCosta</w:t>
    </w:r>
    <w:proofErr w:type="spellEnd"/>
    <w:r w:rsidRPr="00466B82">
      <w:rPr>
        <w:rFonts w:ascii="Times New Roman" w:hAnsi="Times New Roman"/>
        <w:sz w:val="16"/>
      </w:rPr>
      <w:t xml:space="preserve"> </w:t>
    </w:r>
    <w:proofErr w:type="gramStart"/>
    <w:r w:rsidRPr="00466B82">
      <w:rPr>
        <w:rFonts w:ascii="Times New Roman" w:hAnsi="Times New Roman"/>
        <w:sz w:val="16"/>
      </w:rPr>
      <w:t xml:space="preserve">- </w:t>
    </w:r>
    <w:r w:rsidR="0018676D" w:rsidRPr="00466B82">
      <w:rPr>
        <w:rFonts w:ascii="Times New Roman" w:hAnsi="Times New Roman"/>
        <w:sz w:val="16"/>
      </w:rPr>
      <w:t xml:space="preserve"> </w:t>
    </w:r>
    <w:r w:rsidR="0018676D" w:rsidRPr="00466B82">
      <w:rPr>
        <w:rFonts w:ascii="Times New Roman" w:hAnsi="Times New Roman"/>
        <w:i/>
        <w:sz w:val="16"/>
      </w:rPr>
      <w:t>Accessibility</w:t>
    </w:r>
    <w:proofErr w:type="gramEnd"/>
    <w:r w:rsidR="0018676D" w:rsidRPr="00466B82">
      <w:rPr>
        <w:rFonts w:ascii="Times New Roman" w:hAnsi="Times New Roman"/>
        <w:i/>
        <w:sz w:val="16"/>
      </w:rPr>
      <w:t xml:space="preserve"> for Manitobans Act</w:t>
    </w:r>
    <w:r w:rsidR="0018676D" w:rsidRPr="00466B82">
      <w:rPr>
        <w:rFonts w:ascii="Times New Roman" w:hAnsi="Times New Roman"/>
        <w:sz w:val="16"/>
      </w:rPr>
      <w:t>: Ambitions and Achievements in Antidiscrimination and Citizen Participation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74538"/>
    <w:multiLevelType w:val="hybridMultilevel"/>
    <w:tmpl w:val="8702FB1C"/>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28E92E5F"/>
    <w:multiLevelType w:val="hybridMultilevel"/>
    <w:tmpl w:val="7A26921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A8C685F"/>
    <w:multiLevelType w:val="hybridMultilevel"/>
    <w:tmpl w:val="3956296C"/>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304E5412"/>
    <w:multiLevelType w:val="hybridMultilevel"/>
    <w:tmpl w:val="01F8DD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39646C15"/>
    <w:multiLevelType w:val="hybridMultilevel"/>
    <w:tmpl w:val="69042830"/>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3A587FFC"/>
    <w:multiLevelType w:val="hybridMultilevel"/>
    <w:tmpl w:val="D3588B78"/>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622B5D4F"/>
    <w:multiLevelType w:val="hybridMultilevel"/>
    <w:tmpl w:val="04F6D16A"/>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658B4B67"/>
    <w:multiLevelType w:val="hybridMultilevel"/>
    <w:tmpl w:val="02827B50"/>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68DD3456"/>
    <w:multiLevelType w:val="hybridMultilevel"/>
    <w:tmpl w:val="0A247CB8"/>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79446728"/>
    <w:multiLevelType w:val="hybridMultilevel"/>
    <w:tmpl w:val="B1D8208A"/>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9"/>
  </w:num>
  <w:num w:numId="3">
    <w:abstractNumId w:val="7"/>
  </w:num>
  <w:num w:numId="4">
    <w:abstractNumId w:val="0"/>
  </w:num>
  <w:num w:numId="5">
    <w:abstractNumId w:val="4"/>
  </w:num>
  <w:num w:numId="6">
    <w:abstractNumId w:val="1"/>
  </w:num>
  <w:num w:numId="7">
    <w:abstractNumId w:val="8"/>
  </w:num>
  <w:num w:numId="8">
    <w:abstractNumId w:val="6"/>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C9EE2B7E-1287-49D9-AE8D-D7E7A43B1690}"/>
    <w:docVar w:name="dgnword-eventsink" w:val="91427120"/>
  </w:docVars>
  <w:rsids>
    <w:rsidRoot w:val="00BD052D"/>
    <w:rsid w:val="00030B61"/>
    <w:rsid w:val="00056EB6"/>
    <w:rsid w:val="00057A80"/>
    <w:rsid w:val="00090748"/>
    <w:rsid w:val="000A1BB9"/>
    <w:rsid w:val="000D5810"/>
    <w:rsid w:val="000F12B1"/>
    <w:rsid w:val="00105898"/>
    <w:rsid w:val="00116D6B"/>
    <w:rsid w:val="00117274"/>
    <w:rsid w:val="00117297"/>
    <w:rsid w:val="00120580"/>
    <w:rsid w:val="001426A5"/>
    <w:rsid w:val="00161728"/>
    <w:rsid w:val="001712B3"/>
    <w:rsid w:val="00184482"/>
    <w:rsid w:val="0018676D"/>
    <w:rsid w:val="001A0D73"/>
    <w:rsid w:val="001B0626"/>
    <w:rsid w:val="002066F5"/>
    <w:rsid w:val="002341A5"/>
    <w:rsid w:val="00247D1B"/>
    <w:rsid w:val="00254BF9"/>
    <w:rsid w:val="002579DC"/>
    <w:rsid w:val="00261258"/>
    <w:rsid w:val="00261CA1"/>
    <w:rsid w:val="00266E3E"/>
    <w:rsid w:val="0027046F"/>
    <w:rsid w:val="00271D4B"/>
    <w:rsid w:val="00271E9C"/>
    <w:rsid w:val="0028099A"/>
    <w:rsid w:val="0028477F"/>
    <w:rsid w:val="002B11B9"/>
    <w:rsid w:val="002B6ECE"/>
    <w:rsid w:val="002D47A8"/>
    <w:rsid w:val="0030331B"/>
    <w:rsid w:val="0033536D"/>
    <w:rsid w:val="00370F9C"/>
    <w:rsid w:val="00376BFF"/>
    <w:rsid w:val="003867D8"/>
    <w:rsid w:val="003935F3"/>
    <w:rsid w:val="003A7F97"/>
    <w:rsid w:val="003B1BD7"/>
    <w:rsid w:val="003D1971"/>
    <w:rsid w:val="003E2407"/>
    <w:rsid w:val="0041075E"/>
    <w:rsid w:val="00432A09"/>
    <w:rsid w:val="004419AC"/>
    <w:rsid w:val="00442512"/>
    <w:rsid w:val="00465504"/>
    <w:rsid w:val="00466B82"/>
    <w:rsid w:val="00467441"/>
    <w:rsid w:val="00474302"/>
    <w:rsid w:val="00476E2A"/>
    <w:rsid w:val="004803FA"/>
    <w:rsid w:val="004832E7"/>
    <w:rsid w:val="004A0A2D"/>
    <w:rsid w:val="004D2F1B"/>
    <w:rsid w:val="004D4CB3"/>
    <w:rsid w:val="004D6F6C"/>
    <w:rsid w:val="004D7CD6"/>
    <w:rsid w:val="004E20FB"/>
    <w:rsid w:val="004F32A8"/>
    <w:rsid w:val="00522D06"/>
    <w:rsid w:val="00526F2B"/>
    <w:rsid w:val="005358AF"/>
    <w:rsid w:val="005439BD"/>
    <w:rsid w:val="00547C24"/>
    <w:rsid w:val="0058124E"/>
    <w:rsid w:val="005A3DD9"/>
    <w:rsid w:val="005D2E15"/>
    <w:rsid w:val="005E10E1"/>
    <w:rsid w:val="005F5F85"/>
    <w:rsid w:val="005F61B7"/>
    <w:rsid w:val="0060344B"/>
    <w:rsid w:val="0061533C"/>
    <w:rsid w:val="00646BB5"/>
    <w:rsid w:val="006570A4"/>
    <w:rsid w:val="0066308D"/>
    <w:rsid w:val="006673AB"/>
    <w:rsid w:val="006712FE"/>
    <w:rsid w:val="00694804"/>
    <w:rsid w:val="0069540A"/>
    <w:rsid w:val="0069756E"/>
    <w:rsid w:val="006B0E41"/>
    <w:rsid w:val="006D6CE4"/>
    <w:rsid w:val="006D7CE4"/>
    <w:rsid w:val="006E339C"/>
    <w:rsid w:val="006F00A9"/>
    <w:rsid w:val="0071014C"/>
    <w:rsid w:val="00742D56"/>
    <w:rsid w:val="0075151C"/>
    <w:rsid w:val="00767E66"/>
    <w:rsid w:val="00785A2A"/>
    <w:rsid w:val="0079384D"/>
    <w:rsid w:val="00796040"/>
    <w:rsid w:val="007A1204"/>
    <w:rsid w:val="007A5EB0"/>
    <w:rsid w:val="007B1D4D"/>
    <w:rsid w:val="007B5193"/>
    <w:rsid w:val="007E5712"/>
    <w:rsid w:val="007F2D7D"/>
    <w:rsid w:val="00821AAA"/>
    <w:rsid w:val="00827AC7"/>
    <w:rsid w:val="00837159"/>
    <w:rsid w:val="0085090F"/>
    <w:rsid w:val="00862FD8"/>
    <w:rsid w:val="0087570C"/>
    <w:rsid w:val="00880FFC"/>
    <w:rsid w:val="00884048"/>
    <w:rsid w:val="008C1A84"/>
    <w:rsid w:val="008C6941"/>
    <w:rsid w:val="008E07F8"/>
    <w:rsid w:val="00921A3E"/>
    <w:rsid w:val="00930537"/>
    <w:rsid w:val="009343E5"/>
    <w:rsid w:val="00937B3E"/>
    <w:rsid w:val="00945D0E"/>
    <w:rsid w:val="00953664"/>
    <w:rsid w:val="00982654"/>
    <w:rsid w:val="00995D6E"/>
    <w:rsid w:val="009A5282"/>
    <w:rsid w:val="009C6571"/>
    <w:rsid w:val="009E6922"/>
    <w:rsid w:val="00A447B5"/>
    <w:rsid w:val="00A46339"/>
    <w:rsid w:val="00A70415"/>
    <w:rsid w:val="00A86629"/>
    <w:rsid w:val="00AD3C1A"/>
    <w:rsid w:val="00AF4B05"/>
    <w:rsid w:val="00B0661B"/>
    <w:rsid w:val="00B12A6F"/>
    <w:rsid w:val="00B42AE4"/>
    <w:rsid w:val="00B5726B"/>
    <w:rsid w:val="00B8742A"/>
    <w:rsid w:val="00BA2699"/>
    <w:rsid w:val="00BD052D"/>
    <w:rsid w:val="00BD6B7D"/>
    <w:rsid w:val="00C06FF1"/>
    <w:rsid w:val="00C2228D"/>
    <w:rsid w:val="00C2432B"/>
    <w:rsid w:val="00C262BD"/>
    <w:rsid w:val="00C43397"/>
    <w:rsid w:val="00C52E4D"/>
    <w:rsid w:val="00C6649B"/>
    <w:rsid w:val="00CA4E5E"/>
    <w:rsid w:val="00CB048E"/>
    <w:rsid w:val="00CB50F0"/>
    <w:rsid w:val="00CD4B64"/>
    <w:rsid w:val="00CE0EE9"/>
    <w:rsid w:val="00CE5931"/>
    <w:rsid w:val="00D43440"/>
    <w:rsid w:val="00D57779"/>
    <w:rsid w:val="00D60084"/>
    <w:rsid w:val="00D748B8"/>
    <w:rsid w:val="00D82CE8"/>
    <w:rsid w:val="00D93CE2"/>
    <w:rsid w:val="00DA168E"/>
    <w:rsid w:val="00DF4060"/>
    <w:rsid w:val="00E1509A"/>
    <w:rsid w:val="00E20798"/>
    <w:rsid w:val="00E24D36"/>
    <w:rsid w:val="00E35949"/>
    <w:rsid w:val="00E43765"/>
    <w:rsid w:val="00E51A6C"/>
    <w:rsid w:val="00E57049"/>
    <w:rsid w:val="00E736D5"/>
    <w:rsid w:val="00E87D26"/>
    <w:rsid w:val="00E92D40"/>
    <w:rsid w:val="00EA7F88"/>
    <w:rsid w:val="00EB3E79"/>
    <w:rsid w:val="00EC3EE8"/>
    <w:rsid w:val="00EE125A"/>
    <w:rsid w:val="00EF2744"/>
    <w:rsid w:val="00F04CB8"/>
    <w:rsid w:val="00F16856"/>
    <w:rsid w:val="00F515F1"/>
    <w:rsid w:val="00F7075C"/>
    <w:rsid w:val="00F73E35"/>
    <w:rsid w:val="00FA2D6D"/>
    <w:rsid w:val="00FB712D"/>
    <w:rsid w:val="00FC34B9"/>
  </w:rsids>
  <m:mathPr>
    <m:mathFont m:val="Cambria Math"/>
    <m:brkBin m:val="before"/>
    <m:brkBinSub m:val="--"/>
    <m:smallFrac/>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52D"/>
  </w:style>
  <w:style w:type="paragraph" w:styleId="Heading2">
    <w:name w:val="heading 2"/>
    <w:basedOn w:val="Normal"/>
    <w:next w:val="Normal"/>
    <w:link w:val="Heading2Char"/>
    <w:uiPriority w:val="9"/>
    <w:unhideWhenUsed/>
    <w:qFormat/>
    <w:rsid w:val="00D748B8"/>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2228D"/>
    <w:pPr>
      <w:keepNext/>
      <w:keepLines/>
      <w:spacing w:before="200" w:after="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467441"/>
    <w:pPr>
      <w:keepNext/>
      <w:keepLines/>
      <w:spacing w:before="200" w:after="0"/>
      <w:outlineLvl w:val="3"/>
    </w:pPr>
    <w:rPr>
      <w:rFonts w:asciiTheme="majorHAnsi" w:eastAsiaTheme="majorEastAsia" w:hAnsiTheme="majorHAnsi"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748B8"/>
    <w:rPr>
      <w:rFonts w:asciiTheme="majorHAnsi" w:eastAsiaTheme="majorEastAsia" w:hAnsiTheme="majorHAnsi" w:cstheme="majorBidi"/>
      <w:b/>
      <w:bCs/>
      <w:sz w:val="26"/>
      <w:szCs w:val="26"/>
    </w:rPr>
  </w:style>
  <w:style w:type="paragraph" w:styleId="Header">
    <w:name w:val="header"/>
    <w:basedOn w:val="Normal"/>
    <w:link w:val="HeaderChar"/>
    <w:uiPriority w:val="99"/>
    <w:unhideWhenUsed/>
    <w:rsid w:val="00BD052D"/>
    <w:pPr>
      <w:tabs>
        <w:tab w:val="center" w:pos="4320"/>
        <w:tab w:val="right" w:pos="8640"/>
      </w:tabs>
      <w:spacing w:after="0" w:line="240" w:lineRule="auto"/>
    </w:pPr>
  </w:style>
  <w:style w:type="character" w:customStyle="1" w:styleId="HeaderChar">
    <w:name w:val="Header Char"/>
    <w:basedOn w:val="DefaultParagraphFont"/>
    <w:link w:val="Header"/>
    <w:uiPriority w:val="99"/>
    <w:rsid w:val="00BD052D"/>
  </w:style>
  <w:style w:type="paragraph" w:styleId="ListParagraph">
    <w:name w:val="List Paragraph"/>
    <w:basedOn w:val="Normal"/>
    <w:uiPriority w:val="34"/>
    <w:qFormat/>
    <w:rsid w:val="00BD052D"/>
    <w:pPr>
      <w:ind w:left="720"/>
      <w:contextualSpacing/>
    </w:pPr>
  </w:style>
  <w:style w:type="character" w:styleId="Hyperlink">
    <w:name w:val="Hyperlink"/>
    <w:basedOn w:val="DefaultParagraphFont"/>
    <w:uiPriority w:val="99"/>
    <w:unhideWhenUsed/>
    <w:rsid w:val="00BD052D"/>
    <w:rPr>
      <w:color w:val="0000FF" w:themeColor="hyperlink"/>
      <w:u w:val="single"/>
    </w:rPr>
  </w:style>
  <w:style w:type="paragraph" w:styleId="NormalWeb">
    <w:name w:val="Normal (Web)"/>
    <w:basedOn w:val="Normal"/>
    <w:uiPriority w:val="99"/>
    <w:rsid w:val="00BD052D"/>
    <w:pPr>
      <w:spacing w:beforeLines="1" w:afterLines="1" w:line="240" w:lineRule="auto"/>
    </w:pPr>
    <w:rPr>
      <w:rFonts w:ascii="Times" w:hAnsi="Times" w:cs="Times New Roman"/>
      <w:sz w:val="20"/>
      <w:szCs w:val="20"/>
      <w:lang w:val="en-US"/>
    </w:rPr>
  </w:style>
  <w:style w:type="paragraph" w:styleId="FootnoteText">
    <w:name w:val="footnote text"/>
    <w:basedOn w:val="Normal"/>
    <w:link w:val="FootnoteTextChar"/>
    <w:uiPriority w:val="99"/>
    <w:unhideWhenUsed/>
    <w:rsid w:val="00BD052D"/>
    <w:pPr>
      <w:spacing w:after="0" w:line="240" w:lineRule="auto"/>
    </w:pPr>
    <w:rPr>
      <w:sz w:val="24"/>
      <w:szCs w:val="24"/>
    </w:rPr>
  </w:style>
  <w:style w:type="character" w:customStyle="1" w:styleId="FootnoteTextChar">
    <w:name w:val="Footnote Text Char"/>
    <w:basedOn w:val="DefaultParagraphFont"/>
    <w:link w:val="FootnoteText"/>
    <w:uiPriority w:val="99"/>
    <w:rsid w:val="00BD052D"/>
    <w:rPr>
      <w:sz w:val="24"/>
      <w:szCs w:val="24"/>
    </w:rPr>
  </w:style>
  <w:style w:type="character" w:styleId="FootnoteReference">
    <w:name w:val="footnote reference"/>
    <w:basedOn w:val="DefaultParagraphFont"/>
    <w:uiPriority w:val="99"/>
    <w:unhideWhenUsed/>
    <w:rsid w:val="00BD052D"/>
    <w:rPr>
      <w:vertAlign w:val="superscript"/>
    </w:rPr>
  </w:style>
  <w:style w:type="character" w:styleId="CommentReference">
    <w:name w:val="annotation reference"/>
    <w:basedOn w:val="DefaultParagraphFont"/>
    <w:uiPriority w:val="99"/>
    <w:semiHidden/>
    <w:unhideWhenUsed/>
    <w:rsid w:val="00BD052D"/>
    <w:rPr>
      <w:sz w:val="16"/>
      <w:szCs w:val="16"/>
    </w:rPr>
  </w:style>
  <w:style w:type="paragraph" w:styleId="CommentText">
    <w:name w:val="annotation text"/>
    <w:basedOn w:val="Normal"/>
    <w:link w:val="CommentTextChar"/>
    <w:uiPriority w:val="99"/>
    <w:semiHidden/>
    <w:unhideWhenUsed/>
    <w:rsid w:val="00BD052D"/>
    <w:pPr>
      <w:spacing w:line="240" w:lineRule="auto"/>
    </w:pPr>
    <w:rPr>
      <w:sz w:val="20"/>
      <w:szCs w:val="20"/>
    </w:rPr>
  </w:style>
  <w:style w:type="character" w:customStyle="1" w:styleId="CommentTextChar">
    <w:name w:val="Comment Text Char"/>
    <w:basedOn w:val="DefaultParagraphFont"/>
    <w:link w:val="CommentText"/>
    <w:uiPriority w:val="99"/>
    <w:semiHidden/>
    <w:rsid w:val="00BD052D"/>
    <w:rPr>
      <w:sz w:val="20"/>
      <w:szCs w:val="20"/>
    </w:rPr>
  </w:style>
  <w:style w:type="character" w:styleId="PageNumber">
    <w:name w:val="page number"/>
    <w:basedOn w:val="DefaultParagraphFont"/>
    <w:uiPriority w:val="99"/>
    <w:semiHidden/>
    <w:unhideWhenUsed/>
    <w:rsid w:val="00BD052D"/>
  </w:style>
  <w:style w:type="paragraph" w:styleId="BalloonText">
    <w:name w:val="Balloon Text"/>
    <w:basedOn w:val="Normal"/>
    <w:link w:val="BalloonTextChar"/>
    <w:uiPriority w:val="99"/>
    <w:semiHidden/>
    <w:unhideWhenUsed/>
    <w:rsid w:val="00BD0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052D"/>
    <w:rPr>
      <w:rFonts w:ascii="Tahoma" w:hAnsi="Tahoma" w:cs="Tahoma"/>
      <w:sz w:val="16"/>
      <w:szCs w:val="16"/>
    </w:rPr>
  </w:style>
  <w:style w:type="character" w:styleId="FollowedHyperlink">
    <w:name w:val="FollowedHyperlink"/>
    <w:basedOn w:val="DefaultParagraphFont"/>
    <w:uiPriority w:val="99"/>
    <w:semiHidden/>
    <w:unhideWhenUsed/>
    <w:rsid w:val="00BD052D"/>
    <w:rPr>
      <w:color w:val="800080" w:themeColor="followedHyperlink"/>
      <w:u w:val="single"/>
    </w:rPr>
  </w:style>
  <w:style w:type="character" w:customStyle="1" w:styleId="Heading3Char">
    <w:name w:val="Heading 3 Char"/>
    <w:basedOn w:val="DefaultParagraphFont"/>
    <w:link w:val="Heading3"/>
    <w:uiPriority w:val="9"/>
    <w:rsid w:val="00C2228D"/>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467441"/>
    <w:rPr>
      <w:rFonts w:asciiTheme="majorHAnsi" w:eastAsiaTheme="majorEastAsia" w:hAnsiTheme="majorHAnsi" w:cstheme="majorBidi"/>
      <w:b/>
      <w:bCs/>
      <w:i/>
      <w:iCs/>
    </w:rPr>
  </w:style>
  <w:style w:type="paragraph" w:styleId="CommentSubject">
    <w:name w:val="annotation subject"/>
    <w:basedOn w:val="CommentText"/>
    <w:next w:val="CommentText"/>
    <w:link w:val="CommentSubjectChar"/>
    <w:uiPriority w:val="99"/>
    <w:semiHidden/>
    <w:unhideWhenUsed/>
    <w:rsid w:val="0069540A"/>
    <w:rPr>
      <w:b/>
      <w:bCs/>
    </w:rPr>
  </w:style>
  <w:style w:type="character" w:customStyle="1" w:styleId="CommentSubjectChar">
    <w:name w:val="Comment Subject Char"/>
    <w:basedOn w:val="CommentTextChar"/>
    <w:link w:val="CommentSubject"/>
    <w:uiPriority w:val="99"/>
    <w:semiHidden/>
    <w:rsid w:val="0069540A"/>
    <w:rPr>
      <w:b/>
      <w:bCs/>
      <w:sz w:val="20"/>
      <w:szCs w:val="20"/>
    </w:rPr>
  </w:style>
  <w:style w:type="paragraph" w:styleId="Footer">
    <w:name w:val="footer"/>
    <w:basedOn w:val="Normal"/>
    <w:link w:val="FooterChar"/>
    <w:uiPriority w:val="99"/>
    <w:unhideWhenUsed/>
    <w:rsid w:val="00CD4B64"/>
    <w:pPr>
      <w:tabs>
        <w:tab w:val="center" w:pos="4320"/>
        <w:tab w:val="right" w:pos="8640"/>
      </w:tabs>
      <w:spacing w:after="0" w:line="240" w:lineRule="auto"/>
    </w:pPr>
  </w:style>
  <w:style w:type="character" w:customStyle="1" w:styleId="FooterChar">
    <w:name w:val="Footer Char"/>
    <w:basedOn w:val="DefaultParagraphFont"/>
    <w:link w:val="Footer"/>
    <w:uiPriority w:val="99"/>
    <w:rsid w:val="00CD4B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52D"/>
  </w:style>
  <w:style w:type="paragraph" w:styleId="Heading2">
    <w:name w:val="heading 2"/>
    <w:basedOn w:val="Normal"/>
    <w:next w:val="Normal"/>
    <w:link w:val="Heading2Char"/>
    <w:uiPriority w:val="9"/>
    <w:unhideWhenUsed/>
    <w:qFormat/>
    <w:rsid w:val="00D748B8"/>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2228D"/>
    <w:pPr>
      <w:keepNext/>
      <w:keepLines/>
      <w:spacing w:before="200" w:after="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467441"/>
    <w:pPr>
      <w:keepNext/>
      <w:keepLines/>
      <w:spacing w:before="200" w:after="0"/>
      <w:outlineLvl w:val="3"/>
    </w:pPr>
    <w:rPr>
      <w:rFonts w:asciiTheme="majorHAnsi" w:eastAsiaTheme="majorEastAsia" w:hAnsiTheme="majorHAnsi"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748B8"/>
    <w:rPr>
      <w:rFonts w:asciiTheme="majorHAnsi" w:eastAsiaTheme="majorEastAsia" w:hAnsiTheme="majorHAnsi" w:cstheme="majorBidi"/>
      <w:b/>
      <w:bCs/>
      <w:sz w:val="26"/>
      <w:szCs w:val="26"/>
    </w:rPr>
  </w:style>
  <w:style w:type="paragraph" w:styleId="Header">
    <w:name w:val="header"/>
    <w:basedOn w:val="Normal"/>
    <w:link w:val="HeaderChar"/>
    <w:uiPriority w:val="99"/>
    <w:unhideWhenUsed/>
    <w:rsid w:val="00BD052D"/>
    <w:pPr>
      <w:tabs>
        <w:tab w:val="center" w:pos="4320"/>
        <w:tab w:val="right" w:pos="8640"/>
      </w:tabs>
      <w:spacing w:after="0" w:line="240" w:lineRule="auto"/>
    </w:pPr>
  </w:style>
  <w:style w:type="character" w:customStyle="1" w:styleId="HeaderChar">
    <w:name w:val="Header Char"/>
    <w:basedOn w:val="DefaultParagraphFont"/>
    <w:link w:val="Header"/>
    <w:uiPriority w:val="99"/>
    <w:rsid w:val="00BD052D"/>
  </w:style>
  <w:style w:type="paragraph" w:styleId="ListParagraph">
    <w:name w:val="List Paragraph"/>
    <w:basedOn w:val="Normal"/>
    <w:uiPriority w:val="34"/>
    <w:qFormat/>
    <w:rsid w:val="00BD052D"/>
    <w:pPr>
      <w:ind w:left="720"/>
      <w:contextualSpacing/>
    </w:pPr>
  </w:style>
  <w:style w:type="character" w:styleId="Hyperlink">
    <w:name w:val="Hyperlink"/>
    <w:basedOn w:val="DefaultParagraphFont"/>
    <w:uiPriority w:val="99"/>
    <w:unhideWhenUsed/>
    <w:rsid w:val="00BD052D"/>
    <w:rPr>
      <w:color w:val="0000FF" w:themeColor="hyperlink"/>
      <w:u w:val="single"/>
    </w:rPr>
  </w:style>
  <w:style w:type="paragraph" w:styleId="NormalWeb">
    <w:name w:val="Normal (Web)"/>
    <w:basedOn w:val="Normal"/>
    <w:uiPriority w:val="99"/>
    <w:rsid w:val="00BD052D"/>
    <w:pPr>
      <w:spacing w:beforeLines="1" w:afterLines="1" w:line="240" w:lineRule="auto"/>
    </w:pPr>
    <w:rPr>
      <w:rFonts w:ascii="Times" w:hAnsi="Times" w:cs="Times New Roman"/>
      <w:sz w:val="20"/>
      <w:szCs w:val="20"/>
      <w:lang w:val="en-US"/>
    </w:rPr>
  </w:style>
  <w:style w:type="paragraph" w:styleId="FootnoteText">
    <w:name w:val="footnote text"/>
    <w:basedOn w:val="Normal"/>
    <w:link w:val="FootnoteTextChar"/>
    <w:uiPriority w:val="99"/>
    <w:unhideWhenUsed/>
    <w:rsid w:val="00BD052D"/>
    <w:pPr>
      <w:spacing w:after="0" w:line="240" w:lineRule="auto"/>
    </w:pPr>
    <w:rPr>
      <w:sz w:val="24"/>
      <w:szCs w:val="24"/>
    </w:rPr>
  </w:style>
  <w:style w:type="character" w:customStyle="1" w:styleId="FootnoteTextChar">
    <w:name w:val="Footnote Text Char"/>
    <w:basedOn w:val="DefaultParagraphFont"/>
    <w:link w:val="FootnoteText"/>
    <w:uiPriority w:val="99"/>
    <w:rsid w:val="00BD052D"/>
    <w:rPr>
      <w:sz w:val="24"/>
      <w:szCs w:val="24"/>
    </w:rPr>
  </w:style>
  <w:style w:type="character" w:styleId="FootnoteReference">
    <w:name w:val="footnote reference"/>
    <w:basedOn w:val="DefaultParagraphFont"/>
    <w:uiPriority w:val="99"/>
    <w:unhideWhenUsed/>
    <w:rsid w:val="00BD052D"/>
    <w:rPr>
      <w:vertAlign w:val="superscript"/>
    </w:rPr>
  </w:style>
  <w:style w:type="character" w:styleId="CommentReference">
    <w:name w:val="annotation reference"/>
    <w:basedOn w:val="DefaultParagraphFont"/>
    <w:uiPriority w:val="99"/>
    <w:semiHidden/>
    <w:unhideWhenUsed/>
    <w:rsid w:val="00BD052D"/>
    <w:rPr>
      <w:sz w:val="16"/>
      <w:szCs w:val="16"/>
    </w:rPr>
  </w:style>
  <w:style w:type="paragraph" w:styleId="CommentText">
    <w:name w:val="annotation text"/>
    <w:basedOn w:val="Normal"/>
    <w:link w:val="CommentTextChar"/>
    <w:uiPriority w:val="99"/>
    <w:semiHidden/>
    <w:unhideWhenUsed/>
    <w:rsid w:val="00BD052D"/>
    <w:pPr>
      <w:spacing w:line="240" w:lineRule="auto"/>
    </w:pPr>
    <w:rPr>
      <w:sz w:val="20"/>
      <w:szCs w:val="20"/>
    </w:rPr>
  </w:style>
  <w:style w:type="character" w:customStyle="1" w:styleId="CommentTextChar">
    <w:name w:val="Comment Text Char"/>
    <w:basedOn w:val="DefaultParagraphFont"/>
    <w:link w:val="CommentText"/>
    <w:uiPriority w:val="99"/>
    <w:semiHidden/>
    <w:rsid w:val="00BD052D"/>
    <w:rPr>
      <w:sz w:val="20"/>
      <w:szCs w:val="20"/>
    </w:rPr>
  </w:style>
  <w:style w:type="character" w:styleId="PageNumber">
    <w:name w:val="page number"/>
    <w:basedOn w:val="DefaultParagraphFont"/>
    <w:uiPriority w:val="99"/>
    <w:semiHidden/>
    <w:unhideWhenUsed/>
    <w:rsid w:val="00BD052D"/>
  </w:style>
  <w:style w:type="paragraph" w:styleId="BalloonText">
    <w:name w:val="Balloon Text"/>
    <w:basedOn w:val="Normal"/>
    <w:link w:val="BalloonTextChar"/>
    <w:uiPriority w:val="99"/>
    <w:semiHidden/>
    <w:unhideWhenUsed/>
    <w:rsid w:val="00BD0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052D"/>
    <w:rPr>
      <w:rFonts w:ascii="Tahoma" w:hAnsi="Tahoma" w:cs="Tahoma"/>
      <w:sz w:val="16"/>
      <w:szCs w:val="16"/>
    </w:rPr>
  </w:style>
  <w:style w:type="character" w:styleId="FollowedHyperlink">
    <w:name w:val="FollowedHyperlink"/>
    <w:basedOn w:val="DefaultParagraphFont"/>
    <w:uiPriority w:val="99"/>
    <w:semiHidden/>
    <w:unhideWhenUsed/>
    <w:rsid w:val="00BD052D"/>
    <w:rPr>
      <w:color w:val="800080" w:themeColor="followedHyperlink"/>
      <w:u w:val="single"/>
    </w:rPr>
  </w:style>
  <w:style w:type="character" w:customStyle="1" w:styleId="Heading3Char">
    <w:name w:val="Heading 3 Char"/>
    <w:basedOn w:val="DefaultParagraphFont"/>
    <w:link w:val="Heading3"/>
    <w:uiPriority w:val="9"/>
    <w:rsid w:val="00C2228D"/>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467441"/>
    <w:rPr>
      <w:rFonts w:asciiTheme="majorHAnsi" w:eastAsiaTheme="majorEastAsia" w:hAnsiTheme="majorHAnsi" w:cstheme="majorBidi"/>
      <w:b/>
      <w:bCs/>
      <w:i/>
      <w:iCs/>
    </w:rPr>
  </w:style>
  <w:style w:type="paragraph" w:styleId="CommentSubject">
    <w:name w:val="annotation subject"/>
    <w:basedOn w:val="CommentText"/>
    <w:next w:val="CommentText"/>
    <w:link w:val="CommentSubjectChar"/>
    <w:uiPriority w:val="99"/>
    <w:semiHidden/>
    <w:unhideWhenUsed/>
    <w:rsid w:val="0069540A"/>
    <w:rPr>
      <w:b/>
      <w:bCs/>
    </w:rPr>
  </w:style>
  <w:style w:type="character" w:customStyle="1" w:styleId="CommentSubjectChar">
    <w:name w:val="Comment Subject Char"/>
    <w:basedOn w:val="CommentTextChar"/>
    <w:link w:val="CommentSubject"/>
    <w:uiPriority w:val="99"/>
    <w:semiHidden/>
    <w:rsid w:val="0069540A"/>
    <w:rPr>
      <w:b/>
      <w:bCs/>
      <w:sz w:val="20"/>
      <w:szCs w:val="20"/>
    </w:rPr>
  </w:style>
  <w:style w:type="paragraph" w:styleId="Footer">
    <w:name w:val="footer"/>
    <w:basedOn w:val="Normal"/>
    <w:link w:val="FooterChar"/>
    <w:uiPriority w:val="99"/>
    <w:unhideWhenUsed/>
    <w:rsid w:val="00CD4B64"/>
    <w:pPr>
      <w:tabs>
        <w:tab w:val="center" w:pos="4320"/>
        <w:tab w:val="right" w:pos="8640"/>
      </w:tabs>
      <w:spacing w:after="0" w:line="240" w:lineRule="auto"/>
    </w:pPr>
  </w:style>
  <w:style w:type="character" w:customStyle="1" w:styleId="FooterChar">
    <w:name w:val="Footer Char"/>
    <w:basedOn w:val="DefaultParagraphFont"/>
    <w:link w:val="Footer"/>
    <w:uiPriority w:val="99"/>
    <w:rsid w:val="00CD4B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metcalffoundation.com/wp-content/uploads/2013/12/Welfareization-of-Disability-Incomes-in-Ontario.pdf" TargetMode="External"/><Relationship Id="rId13" Type="http://schemas.openxmlformats.org/officeDocument/2006/relationships/hyperlink" Target="http://www.accessibilitymb.ca/customer-service-standard.html" TargetMode="External"/><Relationship Id="rId18" Type="http://schemas.openxmlformats.org/officeDocument/2006/relationships/hyperlink" Target="http://www.retailcouncil.org/advocacy/manitoba-customer-service-accessibility-standard-consultation-underway" TargetMode="External"/><Relationship Id="rId26" Type="http://schemas.openxmlformats.org/officeDocument/2006/relationships/hyperlink" Target="file:///C:\Users\ljacobs\AppData\Local\Microsoft\Windows\INetCache\Content.Outlook\7J9BRWR4\%3chttp:\www.gov.mb.ca\dio\" TargetMode="External"/><Relationship Id="rId3" Type="http://schemas.openxmlformats.org/officeDocument/2006/relationships/hyperlink" Target="http://www.odacommittee.net/" TargetMode="External"/><Relationship Id="rId21" Type="http://schemas.openxmlformats.org/officeDocument/2006/relationships/hyperlink" Target="http://www.accessibilitymb.ca/how-standards-are-created.html" TargetMode="External"/><Relationship Id="rId7" Type="http://schemas.openxmlformats.org/officeDocument/2006/relationships/hyperlink" Target="http://www.ccdonline.ca/en/socialpolicy/poverty-citizenship/demographic-profile/understanding-poverty-exclusion" TargetMode="External"/><Relationship Id="rId12" Type="http://schemas.openxmlformats.org/officeDocument/2006/relationships/hyperlink" Target="http://www.gov.mb.ca/dio/pdf/CSS_report_to_govt.docx" TargetMode="External"/><Relationship Id="rId17" Type="http://schemas.openxmlformats.org/officeDocument/2006/relationships/hyperlink" Target="https://web.archive.org/web/20140606210112/http:/www.gov.mb.ca/dio/" TargetMode="External"/><Relationship Id="rId25" Type="http://schemas.openxmlformats.org/officeDocument/2006/relationships/hyperlink" Target="http://www.deafmanitoba.org/2015/04/government-of-manitoba-proposed.html%20Disabilities%20Issues%20Office" TargetMode="External"/><Relationship Id="rId2" Type="http://schemas.openxmlformats.org/officeDocument/2006/relationships/hyperlink" Target="%20http://www.gov.mb.ca/legislature/hansard/40th_2nd/vol_29/h29.html" TargetMode="External"/><Relationship Id="rId16" Type="http://schemas.openxmlformats.org/officeDocument/2006/relationships/hyperlink" Target="http://www.teamunion.mb.ca/renderpage.php?cat=news&amp;subcat=current&amp;id=578" TargetMode="External"/><Relationship Id="rId20" Type="http://schemas.openxmlformats.org/officeDocument/2006/relationships/hyperlink" Target="http://www.mfnpo.org/news/customer-service-standards-development-committee-invites-your-feedback-disabilities-issues-office/" TargetMode="External"/><Relationship Id="rId1" Type="http://schemas.openxmlformats.org/officeDocument/2006/relationships/hyperlink" Target="mailto:ljacobs@uwindsor.ca" TargetMode="External"/><Relationship Id="rId6" Type="http://schemas.openxmlformats.org/officeDocument/2006/relationships/hyperlink" Target="http://www.hivandrehab.ca/wp-content/uploads/Uncertain-Futures-An-Episodic-Disabilities-Discussion-Paper.pdf" TargetMode="External"/><Relationship Id="rId11" Type="http://schemas.openxmlformats.org/officeDocument/2006/relationships/hyperlink" Target="%20%20https://web.archive.org/web/20060513201642/http://www.mcss.gov.on.ca/accessibility/en/news/reference/customerService.htm" TargetMode="External"/><Relationship Id="rId24" Type="http://schemas.openxmlformats.org/officeDocument/2006/relationships/hyperlink" Target="file:///C:\Users\ljacobs\AppData\Local\Microsoft\Windows\INetCache\Content.Outlook\7J9BRWR4\" TargetMode="External"/><Relationship Id="rId5" Type="http://schemas.openxmlformats.org/officeDocument/2006/relationships/hyperlink" Target="file:///C:\Users\ljacobs\AppData\Local\Microsoft\Windows\INetCache\Content.Outlook\7J9BRWR4\New%20York,%20December%2013,%202006,%20archived%20at;%20http:\www.un.org\disabilities\convention\conventionfull.shtml" TargetMode="External"/><Relationship Id="rId15" Type="http://schemas.openxmlformats.org/officeDocument/2006/relationships/hyperlink" Target="http://www.retailcouncil.org/advocacy/manitoba-customer-service-accessibility-standard-consultation-underway" TargetMode="External"/><Relationship Id="rId23" Type="http://schemas.openxmlformats.org/officeDocument/2006/relationships/hyperlink" Target="%20http://www.gov.mb.ca/dio/pdf/CSS_report_to_govt.docx" TargetMode="External"/><Relationship Id="rId28" Type="http://schemas.openxmlformats.org/officeDocument/2006/relationships/hyperlink" Target="http://www.citynews.ca/2016/06/06/broader-accessibility-training-coming-for-staff-at-ontario-companies/" TargetMode="External"/><Relationship Id="rId10" Type="http://schemas.openxmlformats.org/officeDocument/2006/relationships/hyperlink" Target="http://www.westcoastleaf.org/wp-content/uploads/2015/01/Able-Mothers-Report-Summary-of-Results.pdf" TargetMode="External"/><Relationship Id="rId19" Type="http://schemas.openxmlformats.org/officeDocument/2006/relationships/hyperlink" Target="http://www.teamunion.mb.ca/renderpage.php?cat=news&amp;subcat=current&amp;id=578" TargetMode="External"/><Relationship Id="rId4" Type="http://schemas.openxmlformats.org/officeDocument/2006/relationships/hyperlink" Target="http://treaties.un.org/doc/Publication/UNTS/Volume%202515/v2515.pdf" TargetMode="External"/><Relationship Id="rId9" Type="http://schemas.openxmlformats.org/officeDocument/2006/relationships/hyperlink" Target="http://www.tandfonline.com/doi/abs/10.1080/09518398.2011.645513" TargetMode="External"/><Relationship Id="rId14" Type="http://schemas.openxmlformats.org/officeDocument/2006/relationships/hyperlink" Target="http://www.mfnpo.org/news/customer-service-standards-development-committee-invites-your-feedback-disabilities-issues-office/" TargetMode="External"/><Relationship Id="rId22" Type="http://schemas.openxmlformats.org/officeDocument/2006/relationships/hyperlink" Target="http://www.accessibilitymb.ca/customer-service-standard.html" TargetMode="External"/><Relationship Id="rId27" Type="http://schemas.openxmlformats.org/officeDocument/2006/relationships/hyperlink" Target="http://www.aodaalliance.org/strong-effective-aoda/06072016.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DED99-D509-49FD-97FF-8F591298F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5460</Words>
  <Characters>31126</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ljacobs</dc:creator>
  <cp:lastModifiedBy>ljacobs</cp:lastModifiedBy>
  <cp:revision>3</cp:revision>
  <cp:lastPrinted>2016-06-19T00:55:00Z</cp:lastPrinted>
  <dcterms:created xsi:type="dcterms:W3CDTF">2016-07-30T00:01:00Z</dcterms:created>
  <dcterms:modified xsi:type="dcterms:W3CDTF">2016-07-30T00:01:00Z</dcterms:modified>
</cp:coreProperties>
</file>