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inorHAnsi"/>
          <w:b/>
          <w:bCs/>
          <w:lang w:val="en-CA" w:eastAsia="en-US"/>
        </w:rPr>
        <w:id w:val="2007475327"/>
        <w:docPartObj>
          <w:docPartGallery w:val="Cover Pages"/>
          <w:docPartUnique/>
        </w:docPartObj>
      </w:sdtPr>
      <w:sdtEndPr>
        <w:rPr>
          <w:rFonts w:eastAsia="Times New Roman"/>
          <w:b w:val="0"/>
          <w:bCs w:val="0"/>
          <w:i/>
        </w:rPr>
      </w:sdtEndPr>
      <w:sdtContent>
        <w:tbl>
          <w:tblPr>
            <w:tblpPr w:leftFromText="187" w:rightFromText="187" w:horzAnchor="margin" w:tblpYSpec="bottom"/>
            <w:tblW w:w="3000" w:type="pct"/>
            <w:tblLook w:val="04A0" w:firstRow="1" w:lastRow="0" w:firstColumn="1" w:lastColumn="0" w:noHBand="0" w:noVBand="1"/>
          </w:tblPr>
          <w:tblGrid>
            <w:gridCol w:w="5746"/>
          </w:tblGrid>
          <w:tr w:rsidR="00D72CF2">
            <w:tc>
              <w:tcPr>
                <w:tcW w:w="5746" w:type="dxa"/>
              </w:tcPr>
              <w:p w:rsidR="00D72CF2" w:rsidRDefault="00D72CF2">
                <w:pPr>
                  <w:pStyle w:val="NoSpacing"/>
                  <w:rPr>
                    <w:b/>
                    <w:bCs/>
                  </w:rPr>
                </w:pPr>
              </w:p>
            </w:tc>
          </w:tr>
        </w:tbl>
        <w:p w:rsidR="00D72CF2" w:rsidRDefault="00D72CF2">
          <w:r>
            <w:rPr>
              <w:noProof/>
              <w:lang w:eastAsia="en-CA"/>
            </w:rPr>
            <mc:AlternateContent>
              <mc:Choice Requires="wpg">
                <w:drawing>
                  <wp:anchor distT="0" distB="0" distL="114300" distR="114300" simplePos="0" relativeHeight="251660288" behindDoc="0" locked="0" layoutInCell="0" allowOverlap="1" wp14:anchorId="2F73EA9A" wp14:editId="0CFBED2A">
                    <wp:simplePos x="0" y="0"/>
                    <wp:positionH relativeFrom="page">
                      <wp:align>left</wp:align>
                    </wp:positionH>
                    <wp:positionV relativeFrom="page">
                      <wp:align>top</wp:align>
                    </wp:positionV>
                    <wp:extent cx="5650992" cy="4828032"/>
                    <wp:effectExtent l="0" t="0" r="44958" b="0"/>
                    <wp:wrapNone/>
                    <wp:docPr id="1"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992" cy="4828032"/>
                              <a:chOff x="15" y="15"/>
                              <a:chExt cx="8918" cy="7619"/>
                            </a:xfrm>
                          </wpg:grpSpPr>
                          <wps:wsp>
                            <wps:cNvPr id="2" name="AutoShape 30"/>
                            <wps:cNvCnPr>
                              <a:cxnSpLocks noChangeShapeType="1"/>
                            </wps:cNvCnPr>
                            <wps:spPr bwMode="auto">
                              <a:xfrm>
                                <a:off x="15" y="15"/>
                                <a:ext cx="7512" cy="7386"/>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3" name="Oval 32"/>
                            <wps:cNvSpPr>
                              <a:spLocks noChangeArrowheads="1"/>
                            </wps:cNvSpPr>
                            <wps:spPr bwMode="auto">
                              <a:xfrm>
                                <a:off x="6717" y="5418"/>
                                <a:ext cx="2216" cy="2216"/>
                              </a:xfrm>
                              <a:prstGeom prst="ellipse">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gradFill>
                              <a:scene3d>
                                <a:camera prst="perspectiveHeroicExtremeLeftFacing"/>
                                <a:lightRig rig="twoPt" dir="t">
                                  <a:rot lat="0" lon="0" rev="600000"/>
                                </a:lightRig>
                              </a:scene3d>
                              <a:sp3d>
                                <a:bevelT w="190500" h="190500" prst="riblet"/>
                                <a:bevelB w="190500" h="190500" prst="artDeco"/>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9" o:spid="_x0000_s1026" style="position:absolute;margin-left:0;margin-top:0;width:444.95pt;height:380.15pt;z-index:251660288;mso-position-horizontal:left;mso-position-horizontal-relative:page;mso-position-vertical:top;mso-position-vertical-relative:page" coordorigin="15,15" coordsize="8918,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" o:allowincell="f">
                    <v:shapetype id="_x0000_t32" coordsize="21600,21600" o:spt="32" o:oned="t" path="m,l21600,21600e" filled="f">
                      <v:path arrowok="t" fillok="f" o:connecttype="none"/>
                      <o:lock v:ext="edit" shapetype="t"/>
                    </v:shapetype>
                    <v:shape id="AutoShape 30" o:spid="_x0000_s1027" type="#_x0000_t32" style="position:absolute;left:15;top:15;width:7512;height:73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5o+rsAAADaAAAADwAAAGRycy9kb3ducmV2LnhtbERPSwrCMBDdC94hjOBGNFVEtBpFBMGN&#10;gp8DDM30g82kNrHW2xtBcPl4/9WmNaVoqHaFZQXjUQSCOLG64EzB7bofzkE4j6yxtEwK3uRgs+52&#10;Vhhr++IzNRefiRDCLkYFufdVLKVLcjLoRrYiDlxqa4M+wDqTusZXCDelnETRTBosODTkWNEup+R+&#10;eZowI5XuMbhXp2NKi3PWnNJyOpBK9XvtdgnCU+v/4p/7oBVM4Hsl+EGuP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Vbmj6uwAAANoAAAAPAAAAAAAAAAAAAAAAAKECAABk&#10;cnMvZG93bnJldi54bWxQSwUGAAAAAAQABAD5AAAAiQMAAAAA&#10;" strokecolor="#a7bfde"/>
                    <v:oval id="Oval 32" o:spid="_x0000_s1028" style="position:absolute;left:6717;top:5418;width:2216;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d8sQA&#10;AADaAAAADwAAAGRycy9kb3ducmV2LnhtbESPT2sCMRTE7wW/Q3hCL0WzbVVkNUoRbC2e/HPQ22Pz&#10;3F3dvCybuKbfvhEEj8PM/IaZzoOpREuNKy0reO8nIIgzq0vOFex3y94YhPPIGivLpOCPHMxnnZcp&#10;ptreeEPt1uciQtilqKDwvk6ldFlBBl3f1sTRO9nGoI+yyaVu8BbhppIfSTKSBkuOCwXWtCgou2yv&#10;RsHAfa9/j0P+GbzJqzmvN2HcHoJSr93wNQHhKfhn+NFeaQWfcL8Sb4C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VHfLEAAAA2gAAAA8AAAAAAAAAAAAAAAAAmAIAAGRycy9k&#10;b3ducmV2LnhtbFBLBQYAAAAABAAEAPUAAACJAwAAAAA=&#10;" fillcolor="#8aabd3 [2132]" stroked="f">
                      <v:fill color2="#d6e2f0 [756]" focusposition=",1" focussize="" colors="0 #9ab5e4;.5 #c2d1ed;1 #e1e8f5" focus="100%" type="gradientRadial"/>
                    </v:oval>
                    <w10:wrap anchorx="page" anchory="page"/>
                  </v:group>
                </w:pict>
              </mc:Fallback>
            </mc:AlternateContent>
          </w:r>
          <w:r>
            <w:rPr>
              <w:noProof/>
              <w:lang w:eastAsia="en-CA"/>
            </w:rPr>
            <mc:AlternateContent>
              <mc:Choice Requires="wpg">
                <w:drawing>
                  <wp:anchor distT="0" distB="0" distL="114300" distR="114300" simplePos="0" relativeHeight="251659264" behindDoc="0" locked="0" layoutInCell="0" allowOverlap="1" wp14:anchorId="37C62838" wp14:editId="4801BC84">
                    <wp:simplePos x="0" y="0"/>
                    <mc:AlternateContent>
                      <mc:Choice Requires="wp14">
                        <wp:positionH relativeFrom="margin">
                          <wp14:pctPosHOffset>25000</wp14:pctPosHOffset>
                        </wp:positionH>
                      </mc:Choice>
                      <mc:Fallback>
                        <wp:positionH relativeFrom="page">
                          <wp:posOffset>2400300</wp:posOffset>
                        </wp:positionH>
                      </mc:Fallback>
                    </mc:AlternateContent>
                    <wp:positionV relativeFrom="page">
                      <wp:align>top</wp:align>
                    </wp:positionV>
                    <wp:extent cx="3648456" cy="2880360"/>
                    <wp:effectExtent l="0" t="0" r="85344" b="0"/>
                    <wp:wrapNone/>
                    <wp:docPr id="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8456" cy="2880360"/>
                              <a:chOff x="4136" y="15"/>
                              <a:chExt cx="5762" cy="4545"/>
                            </a:xfrm>
                          </wpg:grpSpPr>
                          <wps:wsp>
                            <wps:cNvPr id="5" name="AutoShape 25"/>
                            <wps:cNvCnPr>
                              <a:cxnSpLocks noChangeShapeType="1"/>
                            </wps:cNvCnPr>
                            <wps:spPr bwMode="auto">
                              <a:xfrm>
                                <a:off x="4136" y="15"/>
                                <a:ext cx="3058" cy="3855"/>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6" name="Oval 26"/>
                            <wps:cNvSpPr>
                              <a:spLocks noChangeArrowheads="1"/>
                            </wps:cNvSpPr>
                            <wps:spPr bwMode="auto">
                              <a:xfrm>
                                <a:off x="5782" y="444"/>
                                <a:ext cx="4116" cy="4116"/>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tileRect l="-100000" b="-100000"/>
                              </a:gradFill>
                              <a:scene3d>
                                <a:camera prst="perspectiveHeroicExtremeLeftFacing"/>
                                <a:lightRig rig="twoPt" dir="t"/>
                              </a:scene3d>
                              <a:sp3d>
                                <a:bevelT w="317500" h="317500" prst="riblet"/>
                                <a:bevelB w="635000" h="317500" prst="artDeco"/>
                                <a:contourClr>
                                  <a:schemeClr val="accent1"/>
                                </a:contourClr>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0;margin-top:0;width:287.3pt;height:226.8pt;z-index:251659264;mso-left-percent:250;mso-position-horizontal-relative:margin;mso-position-vertical:top;mso-position-vertical-relative:page;mso-left-percent:250" coordorigin="4136,15" coordsize="5762,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" o:allowincell="f">
                    <v:shape id="AutoShape 25" o:spid="_x0000_s1027" type="#_x0000_t32" style="position:absolute;left:4136;top:15;width:3058;height:38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fwjr4AAADaAAAADwAAAGRycy9kb3ducmV2LnhtbERPy4rCMBTdC/MP4Q64EU0VHbQ2lWFg&#10;wI2CdT7g0tw+sLnpNLHWvzeC4PJw3sluMI3oqXO1ZQXzWQSCOLe65lLB3/l3ugbhPLLGxjIpuJOD&#10;XfoxSjDW9sYn6jNfihDCLkYFlfdtLKXLKzLoZrYlDlxhO4M+wK6UusNbCDeNXETRlzRYc2iosKWf&#10;ivJLdjVhRiHd/+TSHg8FbU5lfyya5UQqNf4cvrcgPA3+LX6591rBCp5Xgh9k+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ah/COvgAAANoAAAAPAAAAAAAAAAAAAAAAAKEC&#10;AABkcnMvZG93bnJldi54bWxQSwUGAAAAAAQABAD5AAAAjAMAAAAA&#10;" strokecolor="#a7bfde"/>
                    <v:oval id="Oval 26" o:spid="_x0000_s1028" style="position:absolute;left:5782;top:444;width:4116;height:4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F78MA&#10;AADaAAAADwAAAGRycy9kb3ducmV2LnhtbESPUWvCMBSF34X9h3AHvsiaTEaRzlRkMFAQpnU/4NLc&#10;td2amy6J2v37RRB8PJxzvsNZrkbbizP50DnW8JwpEMS1Mx03Gj6P708LECEiG+wdk4Y/CrAqHyZL&#10;LIy78IHOVWxEgnAoUEMb41BIGeqWLIbMDcTJ+3LeYkzSN9J4vCS47eVcqVxa7DgttDjQW0v1T3Wy&#10;GtbH2Qvl+wOq7/FX8c5vT/Fjq/X0cVy/gog0xnv41t4YDTlcr6QbI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F78MAAADaAAAADwAAAAAAAAAAAAAAAACYAgAAZHJzL2Rv&#10;d25yZXYueG1sUEsFBgAAAAAEAAQA9QAAAIgDAAAAAA==&#10;" fillcolor="#8aabd3 [2132]" stroked="f">
                      <v:fill color2="#d6e2f0 [756]" rotate="t" focusposition=",1" focussize="" colors="0 #9ab5e4;.5 #c2d1ed;1 #e1e8f5" focus="100%" type="gradientRadial"/>
                    </v:oval>
                    <w10:wrap anchorx="margin" anchory="page"/>
                  </v:group>
                </w:pict>
              </mc:Fallback>
            </mc:AlternateContent>
          </w:r>
        </w:p>
        <w:p w:rsidR="00D72CF2" w:rsidRDefault="00D72CF2">
          <w:r>
            <w:rPr>
              <w:noProof/>
              <w:lang w:eastAsia="en-CA"/>
            </w:rPr>
            <mc:AlternateContent>
              <mc:Choice Requires="wpg">
                <w:drawing>
                  <wp:anchor distT="0" distB="0" distL="114300" distR="114300" simplePos="0" relativeHeight="251661312" behindDoc="0" locked="0" layoutInCell="1" allowOverlap="1" wp14:anchorId="05A9FB6F" wp14:editId="651F7EE1">
                    <wp:simplePos x="0" y="0"/>
                    <mc:AlternateContent>
                      <mc:Choice Requires="wp14">
                        <wp:positionH relativeFrom="margin">
                          <wp14:pctPosHOffset>63000</wp14:pctPosHOffset>
                        </wp:positionH>
                      </mc:Choice>
                      <mc:Fallback>
                        <wp:positionH relativeFrom="page">
                          <wp:posOffset>4658360</wp:posOffset>
                        </wp:positionH>
                      </mc:Fallback>
                    </mc:AlternateContent>
                    <wp:positionV relativeFrom="page">
                      <wp:align>bottom</wp:align>
                    </wp:positionV>
                    <wp:extent cx="3831336" cy="9208008"/>
                    <wp:effectExtent l="114300" t="0" r="0" b="0"/>
                    <wp:wrapNone/>
                    <wp:docPr id="16" name="Group 16"/>
                    <wp:cNvGraphicFramePr/>
                    <a:graphic xmlns:a="http://schemas.openxmlformats.org/drawingml/2006/main">
                      <a:graphicData uri="http://schemas.microsoft.com/office/word/2010/wordprocessingGroup">
                        <wpg:wgp>
                          <wpg:cNvGrpSpPr/>
                          <wpg:grpSpPr>
                            <a:xfrm>
                              <a:off x="0" y="0"/>
                              <a:ext cx="3831336" cy="9208008"/>
                              <a:chOff x="117230" y="0"/>
                              <a:chExt cx="3833446" cy="9205546"/>
                            </a:xfrm>
                          </wpg:grpSpPr>
                          <wps:wsp>
                            <wps:cNvPr id="11" name="AutoShape 19"/>
                            <wps:cNvCnPr>
                              <a:cxnSpLocks noChangeShapeType="1"/>
                            </wps:cNvCnPr>
                            <wps:spPr bwMode="auto">
                              <a:xfrm flipH="1">
                                <a:off x="285750" y="0"/>
                                <a:ext cx="2732405" cy="6375400"/>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15" name="Oval 15"/>
                            <wps:cNvSpPr/>
                            <wps:spPr>
                              <a:xfrm>
                                <a:off x="117230" y="5372100"/>
                                <a:ext cx="3833446" cy="3833446"/>
                              </a:xfrm>
                              <a:prstGeom prst="ellipse">
                                <a:avLst/>
                              </a:prstGeom>
                              <a:gradFill flip="none" rotWithShape="1">
                                <a:gsLst>
                                  <a:gs pos="0">
                                    <a:schemeClr val="tx2">
                                      <a:lumMod val="40000"/>
                                      <a:lumOff val="60000"/>
                                      <a:tint val="66000"/>
                                      <a:satMod val="160000"/>
                                    </a:schemeClr>
                                  </a:gs>
                                  <a:gs pos="50000">
                                    <a:schemeClr val="tx2">
                                      <a:lumMod val="40000"/>
                                      <a:lumOff val="60000"/>
                                      <a:tint val="44500"/>
                                      <a:satMod val="160000"/>
                                    </a:schemeClr>
                                  </a:gs>
                                  <a:gs pos="100000">
                                    <a:schemeClr val="tx2">
                                      <a:lumMod val="40000"/>
                                      <a:lumOff val="60000"/>
                                      <a:tint val="23500"/>
                                      <a:satMod val="160000"/>
                                    </a:schemeClr>
                                  </a:gs>
                                </a:gsLst>
                                <a:path path="circle">
                                  <a:fillToRect l="50000" t="50000" r="50000" b="50000"/>
                                </a:path>
                                <a:tileRect/>
                              </a:gradFill>
                              <a:ln>
                                <a:noFill/>
                              </a:ln>
                              <a:scene3d>
                                <a:camera prst="perspectiveContrastingRightFacing"/>
                                <a:lightRig rig="twoPt" dir="t">
                                  <a:rot lat="0" lon="0" rev="4200000"/>
                                </a:lightRig>
                              </a:scene3d>
                              <a:sp3d>
                                <a:bevelT w="571500" h="571500" prst="riblet"/>
                                <a:bevelB w="571500" h="571500" prst="rible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6" o:spid="_x0000_s1026" style="position:absolute;margin-left:0;margin-top:0;width:301.7pt;height:725.05pt;z-index:251661312;mso-left-percent:630;mso-position-horizontal-relative:margin;mso-position-vertical:bottom;mso-position-vertical-relative:page;mso-left-percent:630;mso-width-relative:margin;mso-height-relative:margin" coordorigin="1172" coordsize="38334,92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">
                    <v:shape id="AutoShape 19" o:spid="_x0000_s1027" type="#_x0000_t32" style="position:absolute;left:2857;width:27324;height:6375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D/C8AAAADbAAAADwAAAGRycy9kb3ducmV2LnhtbERPS4vCMBC+C/6HMII3Tasi0jXKIgrq&#10;RXxcvI3NbFu2mZQkav33ZmHB23x8z5kvW1OLBzlfWVaQDhMQxLnVFRcKLufNYAbCB2SNtWVS8CIP&#10;y0W3M8dM2ycf6XEKhYgh7DNUUIbQZFL6vCSDfmgb4sj9WGcwROgKqR0+Y7ip5ShJptJgxbGhxIZW&#10;JeW/p7tRsN5PprtxlW4ON+MOLn01t5W8KtXvtd9fIAK14SP+d291nJ/C3y/xALl4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g/wvAAAAA2wAAAA8AAAAAAAAAAAAAAAAA&#10;oQIAAGRycy9kb3ducmV2LnhtbFBLBQYAAAAABAAEAPkAAACOAwAAAAA=&#10;" strokecolor="#a7bfde"/>
                    <v:oval id="Oval 15" o:spid="_x0000_s1028" style="position:absolute;left:1172;top:53721;width:38334;height:38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pcwcMA&#10;AADbAAAADwAAAGRycy9kb3ducmV2LnhtbERPTUvEMBC9C/sfwix4cxMFxa1NFxUFPfRgu7t4HJLZ&#10;tmwzqU3cVn+9EQRv83ifk29m14sTjaHzrOFypUAQG287bjRs6+eLWxAhIlvsPZOGLwqwKRZnOWbW&#10;T/xGpyo2IoVwyFBDG+OQSRlMSw7Dyg/EiTv40WFMcGykHXFK4a6XV0rdSIcdp4YWB3psyRyrT6eh&#10;eajWe/X0Pn18l7tamdegyslofb6c7+9ARJrjv/jP/WLT/Gv4/SUdI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pcwcMAAADbAAAADwAAAAAAAAAAAAAAAACYAgAAZHJzL2Rv&#10;d25yZXYueG1sUEsFBgAAAAAEAAQA9QAAAIgDAAAAAA==&#10;" fillcolor="#8db3e2 [1311]" stroked="f" strokeweight="2pt">
                      <v:fill color2="#8db3e2 [1311]" rotate="t" focusposition=".5,.5" focussize="" colors="0 #b0cffb;.5 #cee0fc;1 #e6effd" focus="100%" type="gradientRadial"/>
                    </v:oval>
                    <w10:wrap anchorx="margin" anchory="page"/>
                  </v:group>
                </w:pict>
              </mc:Fallback>
            </mc:AlternateContent>
          </w:r>
        </w:p>
        <w:tbl>
          <w:tblPr>
            <w:tblpPr w:leftFromText="187" w:rightFromText="187" w:horzAnchor="margin" w:tblpYSpec="bottom"/>
            <w:tblW w:w="3000" w:type="pct"/>
            <w:tblLook w:val="04A0" w:firstRow="1" w:lastRow="0" w:firstColumn="1" w:lastColumn="0" w:noHBand="0" w:noVBand="1"/>
          </w:tblPr>
          <w:tblGrid>
            <w:gridCol w:w="5746"/>
          </w:tblGrid>
          <w:tr w:rsidR="00D72CF2">
            <w:tc>
              <w:tcPr>
                <w:tcW w:w="5746" w:type="dxa"/>
              </w:tcPr>
              <w:p w:rsidR="00D72CF2" w:rsidRDefault="00716503">
                <w:pPr>
                  <w:pStyle w:val="NoSpacing"/>
                  <w:rPr>
                    <w:rFonts w:asciiTheme="majorHAnsi" w:eastAsiaTheme="majorEastAsia" w:hAnsiTheme="majorHAnsi" w:cstheme="majorBidi"/>
                    <w:b/>
                    <w:bCs/>
                    <w:color w:val="365F91" w:themeColor="accent1" w:themeShade="BF"/>
                    <w:sz w:val="48"/>
                    <w:szCs w:val="48"/>
                  </w:rPr>
                </w:pPr>
                <w:sdt>
                  <w:sdtPr>
                    <w:rPr>
                      <w:rFonts w:asciiTheme="majorHAnsi" w:eastAsiaTheme="majorEastAsia" w:hAnsiTheme="majorHAnsi" w:cstheme="majorBidi"/>
                      <w:color w:val="17365D" w:themeColor="text2" w:themeShade="BF"/>
                      <w:spacing w:val="5"/>
                      <w:kern w:val="28"/>
                      <w:sz w:val="52"/>
                      <w:szCs w:val="52"/>
                      <w:lang w:eastAsia="en-CA"/>
                    </w:rPr>
                    <w:alias w:val="Title"/>
                    <w:id w:val="703864190"/>
                    <w:dataBinding w:prefixMappings="xmlns:ns0='http://schemas.openxmlformats.org/package/2006/metadata/core-properties' xmlns:ns1='http://purl.org/dc/elements/1.1/'" w:xpath="/ns0:coreProperties[1]/ns1:title[1]" w:storeItemID="{6C3C8BC8-F283-45AE-878A-BAB7291924A1}"/>
                    <w:text/>
                  </w:sdtPr>
                  <w:sdtEndPr/>
                  <w:sdtContent>
                    <w:r w:rsidR="00D72CF2" w:rsidRPr="00D72CF2">
                      <w:rPr>
                        <w:rFonts w:asciiTheme="majorHAnsi" w:eastAsiaTheme="majorEastAsia" w:hAnsiTheme="majorHAnsi" w:cstheme="majorBidi"/>
                        <w:color w:val="17365D" w:themeColor="text2" w:themeShade="BF"/>
                        <w:spacing w:val="5"/>
                        <w:kern w:val="28"/>
                        <w:sz w:val="52"/>
                        <w:szCs w:val="52"/>
                        <w:lang w:eastAsia="en-CA"/>
                      </w:rPr>
                      <w:t>The Interplay Between Human Rights and Accessibility Laws:</w:t>
                    </w:r>
                  </w:sdtContent>
                </w:sdt>
              </w:p>
            </w:tc>
          </w:tr>
          <w:tr w:rsidR="00D72CF2">
            <w:sdt>
              <w:sdtPr>
                <w:rPr>
                  <w:rStyle w:val="TitleChar"/>
                  <w:i/>
                  <w:iCs/>
                  <w:lang w:eastAsia="en-CA"/>
                </w:rPr>
                <w:alias w:val="Subtitle"/>
                <w:id w:val="703864195"/>
                <w:dataBinding w:prefixMappings="xmlns:ns0='http://schemas.openxmlformats.org/package/2006/metadata/core-properties' xmlns:ns1='http://purl.org/dc/elements/1.1/'" w:xpath="/ns0:coreProperties[1]/ns1:subject[1]" w:storeItemID="{6C3C8BC8-F283-45AE-878A-BAB7291924A1}"/>
                <w:text/>
              </w:sdtPr>
              <w:sdtEndPr>
                <w:rPr>
                  <w:rStyle w:val="TitleChar"/>
                </w:rPr>
              </w:sdtEndPr>
              <w:sdtContent>
                <w:tc>
                  <w:tcPr>
                    <w:tcW w:w="5746" w:type="dxa"/>
                  </w:tcPr>
                  <w:p w:rsidR="00D72CF2" w:rsidRDefault="001949BE">
                    <w:pPr>
                      <w:pStyle w:val="NoSpacing"/>
                      <w:rPr>
                        <w:color w:val="4A442A" w:themeColor="background2" w:themeShade="40"/>
                        <w:sz w:val="28"/>
                        <w:szCs w:val="28"/>
                      </w:rPr>
                    </w:pPr>
                    <w:r>
                      <w:rPr>
                        <w:rStyle w:val="TitleChar"/>
                        <w:i/>
                        <w:iCs/>
                        <w:lang w:eastAsia="en-CA"/>
                      </w:rPr>
                      <w:t>Lessons Learned and Considerations for the Planned Federal Accessibility Legislation</w:t>
                    </w:r>
                  </w:p>
                </w:tc>
              </w:sdtContent>
            </w:sdt>
          </w:tr>
          <w:tr w:rsidR="00D72CF2">
            <w:tc>
              <w:tcPr>
                <w:tcW w:w="5746" w:type="dxa"/>
              </w:tcPr>
              <w:p w:rsidR="00D72CF2" w:rsidRDefault="00D72CF2">
                <w:pPr>
                  <w:pStyle w:val="NoSpacing"/>
                  <w:rPr>
                    <w:color w:val="4A442A" w:themeColor="background2" w:themeShade="40"/>
                    <w:sz w:val="28"/>
                    <w:szCs w:val="28"/>
                  </w:rPr>
                </w:pPr>
              </w:p>
            </w:tc>
          </w:tr>
          <w:tr w:rsidR="00D72CF2">
            <w:sdt>
              <w:sdtPr>
                <w:rPr>
                  <w:b/>
                </w:rPr>
                <w:alias w:val="Abstract"/>
                <w:id w:val="703864200"/>
                <w:dataBinding w:prefixMappings="xmlns:ns0='http://schemas.microsoft.com/office/2006/coverPageProps'" w:xpath="/ns0:CoverPageProperties[1]/ns0:Abstract[1]" w:storeItemID="{55AF091B-3C7A-41E3-B477-F2FDAA23CFDA}"/>
                <w:text/>
              </w:sdtPr>
              <w:sdtEndPr/>
              <w:sdtContent>
                <w:tc>
                  <w:tcPr>
                    <w:tcW w:w="5746" w:type="dxa"/>
                  </w:tcPr>
                  <w:p w:rsidR="00D72CF2" w:rsidRPr="00275804" w:rsidRDefault="003B660F" w:rsidP="00AD2838">
                    <w:pPr>
                      <w:pStyle w:val="NoSpacing"/>
                      <w:rPr>
                        <w:b/>
                      </w:rPr>
                    </w:pPr>
                    <w:r>
                      <w:rPr>
                        <w:b/>
                      </w:rPr>
                      <w:t>Final Report</w:t>
                    </w:r>
                  </w:p>
                </w:tc>
              </w:sdtContent>
            </w:sdt>
          </w:tr>
          <w:tr w:rsidR="00D72CF2">
            <w:tc>
              <w:tcPr>
                <w:tcW w:w="5746" w:type="dxa"/>
              </w:tcPr>
              <w:p w:rsidR="00D72CF2" w:rsidRDefault="00D72CF2">
                <w:pPr>
                  <w:pStyle w:val="NoSpacing"/>
                </w:pPr>
              </w:p>
            </w:tc>
          </w:tr>
          <w:tr w:rsidR="00D72CF2">
            <w:sdt>
              <w:sdtPr>
                <w:rPr>
                  <w:rFonts w:asciiTheme="majorHAnsi" w:eastAsiaTheme="majorEastAsia" w:hAnsiTheme="majorHAnsi" w:cstheme="majorBidi"/>
                  <w:b/>
                  <w:iCs/>
                  <w:color w:val="4F81BD" w:themeColor="accent1"/>
                  <w:spacing w:val="15"/>
                  <w:szCs w:val="24"/>
                  <w:lang w:val="en-CA" w:eastAsia="en-US"/>
                </w:rPr>
                <w:alias w:val="Author"/>
                <w:id w:val="703864205"/>
                <w:dataBinding w:prefixMappings="xmlns:ns0='http://schemas.openxmlformats.org/package/2006/metadata/core-properties' xmlns:ns1='http://purl.org/dc/elements/1.1/'" w:xpath="/ns0:coreProperties[1]/ns1:creator[1]" w:storeItemID="{6C3C8BC8-F283-45AE-878A-BAB7291924A1}"/>
                <w:text/>
              </w:sdtPr>
              <w:sdtEndPr/>
              <w:sdtContent>
                <w:tc>
                  <w:tcPr>
                    <w:tcW w:w="5746" w:type="dxa"/>
                  </w:tcPr>
                  <w:p w:rsidR="00D72CF2" w:rsidRDefault="001D20BC" w:rsidP="001D20BC">
                    <w:pPr>
                      <w:pStyle w:val="NoSpacing"/>
                      <w:rPr>
                        <w:b/>
                        <w:bCs/>
                      </w:rPr>
                    </w:pPr>
                    <w:r w:rsidRPr="001D20BC">
                      <w:rPr>
                        <w:rFonts w:asciiTheme="majorHAnsi" w:eastAsiaTheme="majorEastAsia" w:hAnsiTheme="majorHAnsi" w:cstheme="majorBidi"/>
                        <w:b/>
                        <w:iCs/>
                        <w:color w:val="4F81BD" w:themeColor="accent1"/>
                        <w:spacing w:val="15"/>
                        <w:szCs w:val="24"/>
                        <w:lang w:val="en-CA" w:eastAsia="en-US"/>
                      </w:rPr>
                      <w:t>Laverne Jacobs</w:t>
                    </w:r>
                    <w:r>
                      <w:rPr>
                        <w:rFonts w:asciiTheme="majorHAnsi" w:eastAsiaTheme="majorEastAsia" w:hAnsiTheme="majorHAnsi" w:cstheme="majorBidi"/>
                        <w:b/>
                        <w:iCs/>
                        <w:color w:val="4F81BD" w:themeColor="accent1"/>
                        <w:spacing w:val="15"/>
                        <w:szCs w:val="24"/>
                        <w:lang w:val="en-CA" w:eastAsia="en-US"/>
                      </w:rPr>
                      <w:t>,</w:t>
                    </w:r>
                    <w:r w:rsidRPr="001D20BC">
                      <w:rPr>
                        <w:rFonts w:asciiTheme="majorHAnsi" w:eastAsiaTheme="majorEastAsia" w:hAnsiTheme="majorHAnsi" w:cstheme="majorBidi"/>
                        <w:b/>
                        <w:iCs/>
                        <w:color w:val="4F81BD" w:themeColor="accent1"/>
                        <w:spacing w:val="15"/>
                        <w:szCs w:val="24"/>
                        <w:lang w:val="en-CA" w:eastAsia="en-US"/>
                      </w:rPr>
                      <w:t xml:space="preserve"> Associate Professor &amp; Director of Graduate Studies</w:t>
                    </w:r>
                    <w:r>
                      <w:rPr>
                        <w:rFonts w:asciiTheme="majorHAnsi" w:eastAsiaTheme="majorEastAsia" w:hAnsiTheme="majorHAnsi" w:cstheme="majorBidi"/>
                        <w:b/>
                        <w:iCs/>
                        <w:color w:val="4F81BD" w:themeColor="accent1"/>
                        <w:spacing w:val="15"/>
                        <w:szCs w:val="24"/>
                        <w:lang w:val="en-CA" w:eastAsia="en-US"/>
                      </w:rPr>
                      <w:t>,</w:t>
                    </w:r>
                    <w:r w:rsidRPr="001D20BC">
                      <w:rPr>
                        <w:rFonts w:asciiTheme="majorHAnsi" w:eastAsiaTheme="majorEastAsia" w:hAnsiTheme="majorHAnsi" w:cstheme="majorBidi"/>
                        <w:b/>
                        <w:iCs/>
                        <w:color w:val="4F81BD" w:themeColor="accent1"/>
                        <w:spacing w:val="15"/>
                        <w:szCs w:val="24"/>
                        <w:lang w:val="en-CA" w:eastAsia="en-US"/>
                      </w:rPr>
                      <w:t xml:space="preserve"> Faculty of Law</w:t>
                    </w:r>
                    <w:r w:rsidR="00C76343">
                      <w:rPr>
                        <w:rFonts w:asciiTheme="majorHAnsi" w:eastAsiaTheme="majorEastAsia" w:hAnsiTheme="majorHAnsi" w:cstheme="majorBidi"/>
                        <w:b/>
                        <w:iCs/>
                        <w:color w:val="4F81BD" w:themeColor="accent1"/>
                        <w:spacing w:val="15"/>
                        <w:szCs w:val="24"/>
                        <w:lang w:val="en-CA" w:eastAsia="en-US"/>
                      </w:rPr>
                      <w:t>,</w:t>
                    </w:r>
                    <w:r w:rsidRPr="001D20BC">
                      <w:rPr>
                        <w:rFonts w:asciiTheme="majorHAnsi" w:eastAsiaTheme="majorEastAsia" w:hAnsiTheme="majorHAnsi" w:cstheme="majorBidi"/>
                        <w:b/>
                        <w:iCs/>
                        <w:color w:val="4F81BD" w:themeColor="accent1"/>
                        <w:spacing w:val="15"/>
                        <w:szCs w:val="24"/>
                        <w:lang w:val="en-CA" w:eastAsia="en-US"/>
                      </w:rPr>
                      <w:t xml:space="preserve"> University of Windsor</w:t>
                    </w:r>
                  </w:p>
                </w:tc>
              </w:sdtContent>
            </w:sdt>
          </w:tr>
          <w:tr w:rsidR="00D72CF2">
            <w:sdt>
              <w:sdtPr>
                <w:rPr>
                  <w:b/>
                  <w:bCs/>
                </w:rPr>
                <w:alias w:val="Date"/>
                <w:id w:val="703864210"/>
                <w:dataBinding w:prefixMappings="xmlns:ns0='http://schemas.microsoft.com/office/2006/coverPageProps'" w:xpath="/ns0:CoverPageProperties[1]/ns0:PublishDate[1]" w:storeItemID="{55AF091B-3C7A-41E3-B477-F2FDAA23CFDA}"/>
                <w:date w:fullDate="2018-02-06T00:00:00Z">
                  <w:dateFormat w:val="M/d/yyyy"/>
                  <w:lid w:val="en-US"/>
                  <w:storeMappedDataAs w:val="dateTime"/>
                  <w:calendar w:val="gregorian"/>
                </w:date>
              </w:sdtPr>
              <w:sdtEndPr/>
              <w:sdtContent>
                <w:tc>
                  <w:tcPr>
                    <w:tcW w:w="5746" w:type="dxa"/>
                  </w:tcPr>
                  <w:p w:rsidR="00D72CF2" w:rsidRDefault="00E45ED8">
                    <w:pPr>
                      <w:pStyle w:val="NoSpacing"/>
                      <w:rPr>
                        <w:b/>
                        <w:bCs/>
                      </w:rPr>
                    </w:pPr>
                    <w:r>
                      <w:rPr>
                        <w:b/>
                        <w:bCs/>
                      </w:rPr>
                      <w:t>2/6/2018</w:t>
                    </w:r>
                  </w:p>
                </w:tc>
              </w:sdtContent>
            </w:sdt>
          </w:tr>
          <w:tr w:rsidR="00D72CF2">
            <w:tc>
              <w:tcPr>
                <w:tcW w:w="5746" w:type="dxa"/>
              </w:tcPr>
              <w:p w:rsidR="00D72CF2" w:rsidRDefault="00D72CF2">
                <w:pPr>
                  <w:pStyle w:val="NoSpacing"/>
                  <w:rPr>
                    <w:b/>
                    <w:bCs/>
                  </w:rPr>
                </w:pPr>
              </w:p>
            </w:tc>
          </w:tr>
        </w:tbl>
        <w:p w:rsidR="00D72CF2" w:rsidRDefault="00D72CF2">
          <w:pPr>
            <w:rPr>
              <w:rFonts w:eastAsia="Times New Roman"/>
              <w:i/>
            </w:rPr>
          </w:pPr>
          <w:r>
            <w:rPr>
              <w:rFonts w:eastAsia="Times New Roman"/>
              <w:i/>
            </w:rPr>
            <w:br w:type="page"/>
          </w:r>
        </w:p>
      </w:sdtContent>
    </w:sdt>
    <w:p w:rsidR="00A65CAF" w:rsidRDefault="00A65CAF">
      <w:pPr>
        <w:rPr>
          <w:rFonts w:asciiTheme="majorHAnsi" w:eastAsiaTheme="majorEastAsia" w:hAnsiTheme="majorHAnsi" w:cstheme="majorBidi"/>
          <w:color w:val="17365D" w:themeColor="text2" w:themeShade="BF"/>
          <w:spacing w:val="5"/>
          <w:kern w:val="28"/>
          <w:sz w:val="52"/>
          <w:szCs w:val="52"/>
        </w:rPr>
      </w:pPr>
    </w:p>
    <w:sdt>
      <w:sdtPr>
        <w:rPr>
          <w:rFonts w:asciiTheme="minorHAnsi" w:eastAsiaTheme="minorHAnsi" w:hAnsiTheme="minorHAnsi" w:cstheme="minorBidi"/>
          <w:b w:val="0"/>
          <w:bCs w:val="0"/>
          <w:color w:val="auto"/>
          <w:sz w:val="22"/>
          <w:szCs w:val="22"/>
          <w:lang w:val="en-CA" w:eastAsia="en-US"/>
        </w:rPr>
        <w:id w:val="1324391178"/>
        <w:docPartObj>
          <w:docPartGallery w:val="Table of Contents"/>
          <w:docPartUnique/>
        </w:docPartObj>
      </w:sdtPr>
      <w:sdtEndPr>
        <w:rPr>
          <w:noProof/>
        </w:rPr>
      </w:sdtEndPr>
      <w:sdtContent>
        <w:p w:rsidR="00A65CAF" w:rsidRDefault="00A65CAF">
          <w:pPr>
            <w:pStyle w:val="TOCHeading"/>
          </w:pPr>
          <w:r>
            <w:t>Table of Contents</w:t>
          </w:r>
        </w:p>
        <w:p w:rsidR="005D71B7" w:rsidRDefault="00A65CAF">
          <w:pPr>
            <w:pStyle w:val="TOC1"/>
            <w:tabs>
              <w:tab w:val="left" w:pos="440"/>
              <w:tab w:val="right" w:leader="dot" w:pos="9350"/>
            </w:tabs>
            <w:rPr>
              <w:rFonts w:eastAsiaTheme="minorEastAsia"/>
              <w:noProof/>
              <w:lang w:eastAsia="en-CA"/>
            </w:rPr>
          </w:pPr>
          <w:r>
            <w:fldChar w:fldCharType="begin"/>
          </w:r>
          <w:r>
            <w:instrText xml:space="preserve"> TOC \o "1-3" \h \z \u </w:instrText>
          </w:r>
          <w:r>
            <w:fldChar w:fldCharType="separate"/>
          </w:r>
          <w:hyperlink w:anchor="_Toc505751490" w:history="1">
            <w:r w:rsidR="005D71B7" w:rsidRPr="00C8633E">
              <w:rPr>
                <w:rStyle w:val="Hyperlink"/>
                <w:noProof/>
              </w:rPr>
              <w:t>1)</w:t>
            </w:r>
            <w:r w:rsidR="005D71B7">
              <w:rPr>
                <w:rFonts w:eastAsiaTheme="minorEastAsia"/>
                <w:noProof/>
                <w:lang w:eastAsia="en-CA"/>
              </w:rPr>
              <w:tab/>
            </w:r>
            <w:r w:rsidR="005D71B7" w:rsidRPr="00C8633E">
              <w:rPr>
                <w:rStyle w:val="Hyperlink"/>
                <w:noProof/>
              </w:rPr>
              <w:t>Executive Summary</w:t>
            </w:r>
            <w:r w:rsidR="005D71B7">
              <w:rPr>
                <w:noProof/>
                <w:webHidden/>
              </w:rPr>
              <w:tab/>
            </w:r>
            <w:r w:rsidR="005D71B7">
              <w:rPr>
                <w:noProof/>
                <w:webHidden/>
              </w:rPr>
              <w:fldChar w:fldCharType="begin"/>
            </w:r>
            <w:r w:rsidR="005D71B7">
              <w:rPr>
                <w:noProof/>
                <w:webHidden/>
              </w:rPr>
              <w:instrText xml:space="preserve"> PAGEREF _Toc505751490 \h </w:instrText>
            </w:r>
            <w:r w:rsidR="005D71B7">
              <w:rPr>
                <w:noProof/>
                <w:webHidden/>
              </w:rPr>
            </w:r>
            <w:r w:rsidR="005D71B7">
              <w:rPr>
                <w:noProof/>
                <w:webHidden/>
              </w:rPr>
              <w:fldChar w:fldCharType="separate"/>
            </w:r>
            <w:r w:rsidR="005D71B7">
              <w:rPr>
                <w:noProof/>
                <w:webHidden/>
              </w:rPr>
              <w:t>2</w:t>
            </w:r>
            <w:r w:rsidR="005D71B7">
              <w:rPr>
                <w:noProof/>
                <w:webHidden/>
              </w:rPr>
              <w:fldChar w:fldCharType="end"/>
            </w:r>
          </w:hyperlink>
        </w:p>
        <w:p w:rsidR="005D71B7" w:rsidRDefault="00716503">
          <w:pPr>
            <w:pStyle w:val="TOC1"/>
            <w:tabs>
              <w:tab w:val="left" w:pos="440"/>
              <w:tab w:val="right" w:leader="dot" w:pos="9350"/>
            </w:tabs>
            <w:rPr>
              <w:rFonts w:eastAsiaTheme="minorEastAsia"/>
              <w:noProof/>
              <w:lang w:eastAsia="en-CA"/>
            </w:rPr>
          </w:pPr>
          <w:hyperlink w:anchor="_Toc505751491" w:history="1">
            <w:r w:rsidR="005D71B7" w:rsidRPr="00C8633E">
              <w:rPr>
                <w:rStyle w:val="Hyperlink"/>
                <w:noProof/>
              </w:rPr>
              <w:t>2)</w:t>
            </w:r>
            <w:r w:rsidR="005D71B7">
              <w:rPr>
                <w:rFonts w:eastAsiaTheme="minorEastAsia"/>
                <w:noProof/>
                <w:lang w:eastAsia="en-CA"/>
              </w:rPr>
              <w:tab/>
            </w:r>
            <w:r w:rsidR="005D71B7" w:rsidRPr="00C8633E">
              <w:rPr>
                <w:rStyle w:val="Hyperlink"/>
                <w:noProof/>
              </w:rPr>
              <w:t>Glossary of Terms</w:t>
            </w:r>
            <w:r w:rsidR="005D71B7">
              <w:rPr>
                <w:noProof/>
                <w:webHidden/>
              </w:rPr>
              <w:tab/>
            </w:r>
            <w:r w:rsidR="005D71B7">
              <w:rPr>
                <w:noProof/>
                <w:webHidden/>
              </w:rPr>
              <w:fldChar w:fldCharType="begin"/>
            </w:r>
            <w:r w:rsidR="005D71B7">
              <w:rPr>
                <w:noProof/>
                <w:webHidden/>
              </w:rPr>
              <w:instrText xml:space="preserve"> PAGEREF _Toc505751491 \h </w:instrText>
            </w:r>
            <w:r w:rsidR="005D71B7">
              <w:rPr>
                <w:noProof/>
                <w:webHidden/>
              </w:rPr>
            </w:r>
            <w:r w:rsidR="005D71B7">
              <w:rPr>
                <w:noProof/>
                <w:webHidden/>
              </w:rPr>
              <w:fldChar w:fldCharType="separate"/>
            </w:r>
            <w:r w:rsidR="005D71B7">
              <w:rPr>
                <w:noProof/>
                <w:webHidden/>
              </w:rPr>
              <w:t>5</w:t>
            </w:r>
            <w:r w:rsidR="005D71B7">
              <w:rPr>
                <w:noProof/>
                <w:webHidden/>
              </w:rPr>
              <w:fldChar w:fldCharType="end"/>
            </w:r>
          </w:hyperlink>
        </w:p>
        <w:p w:rsidR="005D71B7" w:rsidRDefault="00716503">
          <w:pPr>
            <w:pStyle w:val="TOC1"/>
            <w:tabs>
              <w:tab w:val="left" w:pos="440"/>
              <w:tab w:val="right" w:leader="dot" w:pos="9350"/>
            </w:tabs>
            <w:rPr>
              <w:rFonts w:eastAsiaTheme="minorEastAsia"/>
              <w:noProof/>
              <w:lang w:eastAsia="en-CA"/>
            </w:rPr>
          </w:pPr>
          <w:hyperlink w:anchor="_Toc505751492" w:history="1">
            <w:r w:rsidR="005D71B7" w:rsidRPr="00C8633E">
              <w:rPr>
                <w:rStyle w:val="Hyperlink"/>
                <w:noProof/>
              </w:rPr>
              <w:t>3)</w:t>
            </w:r>
            <w:r w:rsidR="005D71B7">
              <w:rPr>
                <w:rFonts w:eastAsiaTheme="minorEastAsia"/>
                <w:noProof/>
                <w:lang w:eastAsia="en-CA"/>
              </w:rPr>
              <w:tab/>
            </w:r>
            <w:r w:rsidR="005D71B7" w:rsidRPr="00C8633E">
              <w:rPr>
                <w:rStyle w:val="Hyperlink"/>
                <w:noProof/>
              </w:rPr>
              <w:t>Background</w:t>
            </w:r>
            <w:r w:rsidR="005D71B7">
              <w:rPr>
                <w:noProof/>
                <w:webHidden/>
              </w:rPr>
              <w:tab/>
            </w:r>
            <w:r w:rsidR="005D71B7">
              <w:rPr>
                <w:noProof/>
                <w:webHidden/>
              </w:rPr>
              <w:fldChar w:fldCharType="begin"/>
            </w:r>
            <w:r w:rsidR="005D71B7">
              <w:rPr>
                <w:noProof/>
                <w:webHidden/>
              </w:rPr>
              <w:instrText xml:space="preserve"> PAGEREF _Toc505751492 \h </w:instrText>
            </w:r>
            <w:r w:rsidR="005D71B7">
              <w:rPr>
                <w:noProof/>
                <w:webHidden/>
              </w:rPr>
            </w:r>
            <w:r w:rsidR="005D71B7">
              <w:rPr>
                <w:noProof/>
                <w:webHidden/>
              </w:rPr>
              <w:fldChar w:fldCharType="separate"/>
            </w:r>
            <w:r w:rsidR="005D71B7">
              <w:rPr>
                <w:noProof/>
                <w:webHidden/>
              </w:rPr>
              <w:t>6</w:t>
            </w:r>
            <w:r w:rsidR="005D71B7">
              <w:rPr>
                <w:noProof/>
                <w:webHidden/>
              </w:rPr>
              <w:fldChar w:fldCharType="end"/>
            </w:r>
          </w:hyperlink>
        </w:p>
        <w:p w:rsidR="005D71B7" w:rsidRDefault="00716503">
          <w:pPr>
            <w:pStyle w:val="TOC1"/>
            <w:tabs>
              <w:tab w:val="left" w:pos="440"/>
              <w:tab w:val="right" w:leader="dot" w:pos="9350"/>
            </w:tabs>
            <w:rPr>
              <w:rFonts w:eastAsiaTheme="minorEastAsia"/>
              <w:noProof/>
              <w:lang w:eastAsia="en-CA"/>
            </w:rPr>
          </w:pPr>
          <w:hyperlink w:anchor="_Toc505751493" w:history="1">
            <w:r w:rsidR="005D71B7" w:rsidRPr="00C8633E">
              <w:rPr>
                <w:rStyle w:val="Hyperlink"/>
                <w:noProof/>
              </w:rPr>
              <w:t>4)</w:t>
            </w:r>
            <w:r w:rsidR="005D71B7">
              <w:rPr>
                <w:rFonts w:eastAsiaTheme="minorEastAsia"/>
                <w:noProof/>
                <w:lang w:eastAsia="en-CA"/>
              </w:rPr>
              <w:tab/>
            </w:r>
            <w:r w:rsidR="005D71B7" w:rsidRPr="00C8633E">
              <w:rPr>
                <w:rStyle w:val="Hyperlink"/>
                <w:noProof/>
              </w:rPr>
              <w:t>The Issues</w:t>
            </w:r>
            <w:r w:rsidR="005D71B7">
              <w:rPr>
                <w:noProof/>
                <w:webHidden/>
              </w:rPr>
              <w:tab/>
            </w:r>
            <w:r w:rsidR="005D71B7">
              <w:rPr>
                <w:noProof/>
                <w:webHidden/>
              </w:rPr>
              <w:fldChar w:fldCharType="begin"/>
            </w:r>
            <w:r w:rsidR="005D71B7">
              <w:rPr>
                <w:noProof/>
                <w:webHidden/>
              </w:rPr>
              <w:instrText xml:space="preserve"> PAGEREF _Toc505751493 \h </w:instrText>
            </w:r>
            <w:r w:rsidR="005D71B7">
              <w:rPr>
                <w:noProof/>
                <w:webHidden/>
              </w:rPr>
            </w:r>
            <w:r w:rsidR="005D71B7">
              <w:rPr>
                <w:noProof/>
                <w:webHidden/>
              </w:rPr>
              <w:fldChar w:fldCharType="separate"/>
            </w:r>
            <w:r w:rsidR="005D71B7">
              <w:rPr>
                <w:noProof/>
                <w:webHidden/>
              </w:rPr>
              <w:t>7</w:t>
            </w:r>
            <w:r w:rsidR="005D71B7">
              <w:rPr>
                <w:noProof/>
                <w:webHidden/>
              </w:rPr>
              <w:fldChar w:fldCharType="end"/>
            </w:r>
          </w:hyperlink>
        </w:p>
        <w:p w:rsidR="005D71B7" w:rsidRDefault="00716503">
          <w:pPr>
            <w:pStyle w:val="TOC1"/>
            <w:tabs>
              <w:tab w:val="left" w:pos="440"/>
              <w:tab w:val="right" w:leader="dot" w:pos="9350"/>
            </w:tabs>
            <w:rPr>
              <w:rFonts w:eastAsiaTheme="minorEastAsia"/>
              <w:noProof/>
              <w:lang w:eastAsia="en-CA"/>
            </w:rPr>
          </w:pPr>
          <w:hyperlink w:anchor="_Toc505751494" w:history="1">
            <w:r w:rsidR="005D71B7" w:rsidRPr="00C8633E">
              <w:rPr>
                <w:rStyle w:val="Hyperlink"/>
                <w:noProof/>
                <w:lang w:val="en-US"/>
              </w:rPr>
              <w:t>5)</w:t>
            </w:r>
            <w:r w:rsidR="005D71B7">
              <w:rPr>
                <w:rFonts w:eastAsiaTheme="minorEastAsia"/>
                <w:noProof/>
                <w:lang w:eastAsia="en-CA"/>
              </w:rPr>
              <w:tab/>
            </w:r>
            <w:r w:rsidR="005D71B7" w:rsidRPr="00C8633E">
              <w:rPr>
                <w:rStyle w:val="Hyperlink"/>
                <w:noProof/>
                <w:lang w:val="en-US"/>
              </w:rPr>
              <w:t>Key Findings</w:t>
            </w:r>
            <w:r w:rsidR="005D71B7">
              <w:rPr>
                <w:noProof/>
                <w:webHidden/>
              </w:rPr>
              <w:tab/>
            </w:r>
            <w:r w:rsidR="005D71B7">
              <w:rPr>
                <w:noProof/>
                <w:webHidden/>
              </w:rPr>
              <w:fldChar w:fldCharType="begin"/>
            </w:r>
            <w:r w:rsidR="005D71B7">
              <w:rPr>
                <w:noProof/>
                <w:webHidden/>
              </w:rPr>
              <w:instrText xml:space="preserve"> PAGEREF _Toc505751494 \h </w:instrText>
            </w:r>
            <w:r w:rsidR="005D71B7">
              <w:rPr>
                <w:noProof/>
                <w:webHidden/>
              </w:rPr>
            </w:r>
            <w:r w:rsidR="005D71B7">
              <w:rPr>
                <w:noProof/>
                <w:webHidden/>
              </w:rPr>
              <w:fldChar w:fldCharType="separate"/>
            </w:r>
            <w:r w:rsidR="005D71B7">
              <w:rPr>
                <w:noProof/>
                <w:webHidden/>
              </w:rPr>
              <w:t>8</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495" w:history="1">
            <w:r w:rsidR="005D71B7" w:rsidRPr="00C8633E">
              <w:rPr>
                <w:rStyle w:val="Hyperlink"/>
                <w:noProof/>
              </w:rPr>
              <w:t>a)</w:t>
            </w:r>
            <w:r w:rsidR="005D71B7">
              <w:rPr>
                <w:rFonts w:eastAsiaTheme="minorEastAsia"/>
                <w:noProof/>
                <w:lang w:eastAsia="en-CA"/>
              </w:rPr>
              <w:tab/>
            </w:r>
            <w:r w:rsidR="005D71B7" w:rsidRPr="00C8633E">
              <w:rPr>
                <w:rStyle w:val="Hyperlink"/>
                <w:noProof/>
                <w:lang w:val="en-US"/>
              </w:rPr>
              <w:t xml:space="preserve">Theoretical Framework – </w:t>
            </w:r>
            <w:r w:rsidR="005D71B7" w:rsidRPr="00C8633E">
              <w:rPr>
                <w:rStyle w:val="Hyperlink"/>
                <w:noProof/>
              </w:rPr>
              <w:t>An Inclusive Equality Approach</w:t>
            </w:r>
            <w:r w:rsidR="005D71B7">
              <w:rPr>
                <w:noProof/>
                <w:webHidden/>
              </w:rPr>
              <w:tab/>
            </w:r>
            <w:r w:rsidR="005D71B7">
              <w:rPr>
                <w:noProof/>
                <w:webHidden/>
              </w:rPr>
              <w:fldChar w:fldCharType="begin"/>
            </w:r>
            <w:r w:rsidR="005D71B7">
              <w:rPr>
                <w:noProof/>
                <w:webHidden/>
              </w:rPr>
              <w:instrText xml:space="preserve"> PAGEREF _Toc505751495 \h </w:instrText>
            </w:r>
            <w:r w:rsidR="005D71B7">
              <w:rPr>
                <w:noProof/>
                <w:webHidden/>
              </w:rPr>
            </w:r>
            <w:r w:rsidR="005D71B7">
              <w:rPr>
                <w:noProof/>
                <w:webHidden/>
              </w:rPr>
              <w:fldChar w:fldCharType="separate"/>
            </w:r>
            <w:r w:rsidR="005D71B7">
              <w:rPr>
                <w:noProof/>
                <w:webHidden/>
              </w:rPr>
              <w:t>8</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496" w:history="1">
            <w:r w:rsidR="005D71B7" w:rsidRPr="00C8633E">
              <w:rPr>
                <w:rStyle w:val="Hyperlink"/>
                <w:noProof/>
                <w:lang w:val="en-US"/>
              </w:rPr>
              <w:t>b)</w:t>
            </w:r>
            <w:r w:rsidR="005D71B7">
              <w:rPr>
                <w:rFonts w:eastAsiaTheme="minorEastAsia"/>
                <w:noProof/>
                <w:lang w:eastAsia="en-CA"/>
              </w:rPr>
              <w:tab/>
            </w:r>
            <w:r w:rsidR="005D71B7" w:rsidRPr="00C8633E">
              <w:rPr>
                <w:rStyle w:val="Hyperlink"/>
                <w:noProof/>
                <w:lang w:val="en-US"/>
              </w:rPr>
              <w:t>The Creation of Accessibility Standards</w:t>
            </w:r>
            <w:r w:rsidR="005D71B7">
              <w:rPr>
                <w:noProof/>
                <w:webHidden/>
              </w:rPr>
              <w:tab/>
            </w:r>
            <w:r w:rsidR="005D71B7">
              <w:rPr>
                <w:noProof/>
                <w:webHidden/>
              </w:rPr>
              <w:fldChar w:fldCharType="begin"/>
            </w:r>
            <w:r w:rsidR="005D71B7">
              <w:rPr>
                <w:noProof/>
                <w:webHidden/>
              </w:rPr>
              <w:instrText xml:space="preserve"> PAGEREF _Toc505751496 \h </w:instrText>
            </w:r>
            <w:r w:rsidR="005D71B7">
              <w:rPr>
                <w:noProof/>
                <w:webHidden/>
              </w:rPr>
            </w:r>
            <w:r w:rsidR="005D71B7">
              <w:rPr>
                <w:noProof/>
                <w:webHidden/>
              </w:rPr>
              <w:fldChar w:fldCharType="separate"/>
            </w:r>
            <w:r w:rsidR="005D71B7">
              <w:rPr>
                <w:noProof/>
                <w:webHidden/>
              </w:rPr>
              <w:t>12</w:t>
            </w:r>
            <w:r w:rsidR="005D71B7">
              <w:rPr>
                <w:noProof/>
                <w:webHidden/>
              </w:rPr>
              <w:fldChar w:fldCharType="end"/>
            </w:r>
          </w:hyperlink>
        </w:p>
        <w:p w:rsidR="005D71B7" w:rsidRDefault="00716503">
          <w:pPr>
            <w:pStyle w:val="TOC3"/>
            <w:tabs>
              <w:tab w:val="left" w:pos="880"/>
              <w:tab w:val="right" w:leader="dot" w:pos="9350"/>
            </w:tabs>
            <w:rPr>
              <w:rFonts w:eastAsiaTheme="minorEastAsia"/>
              <w:noProof/>
              <w:lang w:eastAsia="en-CA"/>
            </w:rPr>
          </w:pPr>
          <w:hyperlink w:anchor="_Toc505751497" w:history="1">
            <w:r w:rsidR="005D71B7" w:rsidRPr="00C8633E">
              <w:rPr>
                <w:rStyle w:val="Hyperlink"/>
                <w:noProof/>
                <w:lang w:val="en-US"/>
              </w:rPr>
              <w:t>i.</w:t>
            </w:r>
            <w:r w:rsidR="005D71B7">
              <w:rPr>
                <w:rFonts w:eastAsiaTheme="minorEastAsia"/>
                <w:noProof/>
                <w:lang w:eastAsia="en-CA"/>
              </w:rPr>
              <w:tab/>
            </w:r>
            <w:r w:rsidR="005D71B7" w:rsidRPr="00C8633E">
              <w:rPr>
                <w:rStyle w:val="Hyperlink"/>
                <w:noProof/>
                <w:lang w:val="en-US"/>
              </w:rPr>
              <w:t>Models for Creating Accessibility Standards</w:t>
            </w:r>
            <w:r w:rsidR="005D71B7">
              <w:rPr>
                <w:noProof/>
                <w:webHidden/>
              </w:rPr>
              <w:tab/>
            </w:r>
            <w:r w:rsidR="005D71B7">
              <w:rPr>
                <w:noProof/>
                <w:webHidden/>
              </w:rPr>
              <w:fldChar w:fldCharType="begin"/>
            </w:r>
            <w:r w:rsidR="005D71B7">
              <w:rPr>
                <w:noProof/>
                <w:webHidden/>
              </w:rPr>
              <w:instrText xml:space="preserve"> PAGEREF _Toc505751497 \h </w:instrText>
            </w:r>
            <w:r w:rsidR="005D71B7">
              <w:rPr>
                <w:noProof/>
                <w:webHidden/>
              </w:rPr>
            </w:r>
            <w:r w:rsidR="005D71B7">
              <w:rPr>
                <w:noProof/>
                <w:webHidden/>
              </w:rPr>
              <w:fldChar w:fldCharType="separate"/>
            </w:r>
            <w:r w:rsidR="005D71B7">
              <w:rPr>
                <w:noProof/>
                <w:webHidden/>
              </w:rPr>
              <w:t>12</w:t>
            </w:r>
            <w:r w:rsidR="005D71B7">
              <w:rPr>
                <w:noProof/>
                <w:webHidden/>
              </w:rPr>
              <w:fldChar w:fldCharType="end"/>
            </w:r>
          </w:hyperlink>
        </w:p>
        <w:p w:rsidR="005D71B7" w:rsidRDefault="00716503">
          <w:pPr>
            <w:pStyle w:val="TOC3"/>
            <w:tabs>
              <w:tab w:val="left" w:pos="880"/>
              <w:tab w:val="right" w:leader="dot" w:pos="9350"/>
            </w:tabs>
            <w:rPr>
              <w:rFonts w:eastAsiaTheme="minorEastAsia"/>
              <w:noProof/>
              <w:lang w:eastAsia="en-CA"/>
            </w:rPr>
          </w:pPr>
          <w:hyperlink w:anchor="_Toc505751498" w:history="1">
            <w:r w:rsidR="005D71B7" w:rsidRPr="00C8633E">
              <w:rPr>
                <w:rStyle w:val="Hyperlink"/>
                <w:noProof/>
                <w:lang w:val="en-US"/>
              </w:rPr>
              <w:t>ii.</w:t>
            </w:r>
            <w:r w:rsidR="005D71B7">
              <w:rPr>
                <w:rFonts w:eastAsiaTheme="minorEastAsia"/>
                <w:noProof/>
                <w:lang w:eastAsia="en-CA"/>
              </w:rPr>
              <w:tab/>
            </w:r>
            <w:r w:rsidR="005D71B7" w:rsidRPr="00C8633E">
              <w:rPr>
                <w:rStyle w:val="Hyperlink"/>
                <w:noProof/>
                <w:lang w:val="en-US"/>
              </w:rPr>
              <w:t>The Connection between Accessibility Standards and Antidiscrimination Law</w:t>
            </w:r>
            <w:r w:rsidR="005D71B7">
              <w:rPr>
                <w:noProof/>
                <w:webHidden/>
              </w:rPr>
              <w:tab/>
            </w:r>
            <w:r w:rsidR="005D71B7">
              <w:rPr>
                <w:noProof/>
                <w:webHidden/>
              </w:rPr>
              <w:fldChar w:fldCharType="begin"/>
            </w:r>
            <w:r w:rsidR="005D71B7">
              <w:rPr>
                <w:noProof/>
                <w:webHidden/>
              </w:rPr>
              <w:instrText xml:space="preserve"> PAGEREF _Toc505751498 \h </w:instrText>
            </w:r>
            <w:r w:rsidR="005D71B7">
              <w:rPr>
                <w:noProof/>
                <w:webHidden/>
              </w:rPr>
            </w:r>
            <w:r w:rsidR="005D71B7">
              <w:rPr>
                <w:noProof/>
                <w:webHidden/>
              </w:rPr>
              <w:fldChar w:fldCharType="separate"/>
            </w:r>
            <w:r w:rsidR="005D71B7">
              <w:rPr>
                <w:noProof/>
                <w:webHidden/>
              </w:rPr>
              <w:t>13</w:t>
            </w:r>
            <w:r w:rsidR="005D71B7">
              <w:rPr>
                <w:noProof/>
                <w:webHidden/>
              </w:rPr>
              <w:fldChar w:fldCharType="end"/>
            </w:r>
          </w:hyperlink>
        </w:p>
        <w:p w:rsidR="005D71B7" w:rsidRDefault="00716503">
          <w:pPr>
            <w:pStyle w:val="TOC3"/>
            <w:tabs>
              <w:tab w:val="left" w:pos="880"/>
              <w:tab w:val="right" w:leader="dot" w:pos="9350"/>
            </w:tabs>
            <w:rPr>
              <w:rFonts w:eastAsiaTheme="minorEastAsia"/>
              <w:noProof/>
              <w:lang w:eastAsia="en-CA"/>
            </w:rPr>
          </w:pPr>
          <w:hyperlink w:anchor="_Toc505751499" w:history="1">
            <w:r w:rsidR="005D71B7" w:rsidRPr="00C8633E">
              <w:rPr>
                <w:rStyle w:val="Hyperlink"/>
                <w:noProof/>
                <w:lang w:val="en-US"/>
              </w:rPr>
              <w:t>iii.</w:t>
            </w:r>
            <w:r w:rsidR="005D71B7">
              <w:rPr>
                <w:rFonts w:eastAsiaTheme="minorEastAsia"/>
                <w:noProof/>
                <w:lang w:eastAsia="en-CA"/>
              </w:rPr>
              <w:tab/>
            </w:r>
            <w:r w:rsidR="005D71B7" w:rsidRPr="00C8633E">
              <w:rPr>
                <w:rStyle w:val="Hyperlink"/>
                <w:noProof/>
                <w:lang w:val="en-US"/>
              </w:rPr>
              <w:t>The Language of the Statute and the Standards</w:t>
            </w:r>
            <w:r w:rsidR="005D71B7">
              <w:rPr>
                <w:noProof/>
                <w:webHidden/>
              </w:rPr>
              <w:tab/>
            </w:r>
            <w:r w:rsidR="005D71B7">
              <w:rPr>
                <w:noProof/>
                <w:webHidden/>
              </w:rPr>
              <w:fldChar w:fldCharType="begin"/>
            </w:r>
            <w:r w:rsidR="005D71B7">
              <w:rPr>
                <w:noProof/>
                <w:webHidden/>
              </w:rPr>
              <w:instrText xml:space="preserve"> PAGEREF _Toc505751499 \h </w:instrText>
            </w:r>
            <w:r w:rsidR="005D71B7">
              <w:rPr>
                <w:noProof/>
                <w:webHidden/>
              </w:rPr>
            </w:r>
            <w:r w:rsidR="005D71B7">
              <w:rPr>
                <w:noProof/>
                <w:webHidden/>
              </w:rPr>
              <w:fldChar w:fldCharType="separate"/>
            </w:r>
            <w:r w:rsidR="005D71B7">
              <w:rPr>
                <w:noProof/>
                <w:webHidden/>
              </w:rPr>
              <w:t>15</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500" w:history="1">
            <w:r w:rsidR="005D71B7" w:rsidRPr="00C8633E">
              <w:rPr>
                <w:rStyle w:val="Hyperlink"/>
                <w:noProof/>
                <w:lang w:val="en-US"/>
              </w:rPr>
              <w:t>c)</w:t>
            </w:r>
            <w:r w:rsidR="005D71B7">
              <w:rPr>
                <w:rFonts w:eastAsiaTheme="minorEastAsia"/>
                <w:noProof/>
                <w:lang w:eastAsia="en-CA"/>
              </w:rPr>
              <w:tab/>
            </w:r>
            <w:r w:rsidR="005D71B7" w:rsidRPr="00C8633E">
              <w:rPr>
                <w:rStyle w:val="Hyperlink"/>
                <w:noProof/>
                <w:lang w:val="en-US"/>
              </w:rPr>
              <w:t>The Enforcement of Accessibility Standards</w:t>
            </w:r>
            <w:r w:rsidR="005D71B7">
              <w:rPr>
                <w:noProof/>
                <w:webHidden/>
              </w:rPr>
              <w:tab/>
            </w:r>
            <w:r w:rsidR="005D71B7">
              <w:rPr>
                <w:noProof/>
                <w:webHidden/>
              </w:rPr>
              <w:fldChar w:fldCharType="begin"/>
            </w:r>
            <w:r w:rsidR="005D71B7">
              <w:rPr>
                <w:noProof/>
                <w:webHidden/>
              </w:rPr>
              <w:instrText xml:space="preserve"> PAGEREF _Toc505751500 \h </w:instrText>
            </w:r>
            <w:r w:rsidR="005D71B7">
              <w:rPr>
                <w:noProof/>
                <w:webHidden/>
              </w:rPr>
            </w:r>
            <w:r w:rsidR="005D71B7">
              <w:rPr>
                <w:noProof/>
                <w:webHidden/>
              </w:rPr>
              <w:fldChar w:fldCharType="separate"/>
            </w:r>
            <w:r w:rsidR="005D71B7">
              <w:rPr>
                <w:noProof/>
                <w:webHidden/>
              </w:rPr>
              <w:t>15</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501" w:history="1">
            <w:r w:rsidR="005D71B7" w:rsidRPr="00C8633E">
              <w:rPr>
                <w:rStyle w:val="Hyperlink"/>
                <w:noProof/>
                <w:lang w:val="en-US"/>
              </w:rPr>
              <w:t>d)</w:t>
            </w:r>
            <w:r w:rsidR="005D71B7">
              <w:rPr>
                <w:rFonts w:eastAsiaTheme="minorEastAsia"/>
                <w:noProof/>
                <w:lang w:eastAsia="en-CA"/>
              </w:rPr>
              <w:tab/>
            </w:r>
            <w:r w:rsidR="005D71B7" w:rsidRPr="00C8633E">
              <w:rPr>
                <w:rStyle w:val="Hyperlink"/>
                <w:noProof/>
                <w:lang w:val="en-US"/>
              </w:rPr>
              <w:t>The Enforcement of Decisions</w:t>
            </w:r>
            <w:r w:rsidR="005D71B7">
              <w:rPr>
                <w:noProof/>
                <w:webHidden/>
              </w:rPr>
              <w:tab/>
            </w:r>
            <w:r w:rsidR="005D71B7">
              <w:rPr>
                <w:noProof/>
                <w:webHidden/>
              </w:rPr>
              <w:fldChar w:fldCharType="begin"/>
            </w:r>
            <w:r w:rsidR="005D71B7">
              <w:rPr>
                <w:noProof/>
                <w:webHidden/>
              </w:rPr>
              <w:instrText xml:space="preserve"> PAGEREF _Toc505751501 \h </w:instrText>
            </w:r>
            <w:r w:rsidR="005D71B7">
              <w:rPr>
                <w:noProof/>
                <w:webHidden/>
              </w:rPr>
            </w:r>
            <w:r w:rsidR="005D71B7">
              <w:rPr>
                <w:noProof/>
                <w:webHidden/>
              </w:rPr>
              <w:fldChar w:fldCharType="separate"/>
            </w:r>
            <w:r w:rsidR="005D71B7">
              <w:rPr>
                <w:noProof/>
                <w:webHidden/>
              </w:rPr>
              <w:t>19</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502" w:history="1">
            <w:r w:rsidR="005D71B7" w:rsidRPr="00C8633E">
              <w:rPr>
                <w:rStyle w:val="Hyperlink"/>
                <w:noProof/>
                <w:lang w:val="en-US"/>
              </w:rPr>
              <w:t>e)</w:t>
            </w:r>
            <w:r w:rsidR="005D71B7">
              <w:rPr>
                <w:rFonts w:eastAsiaTheme="minorEastAsia"/>
                <w:noProof/>
                <w:lang w:eastAsia="en-CA"/>
              </w:rPr>
              <w:tab/>
            </w:r>
            <w:r w:rsidR="005D71B7" w:rsidRPr="00C8633E">
              <w:rPr>
                <w:rStyle w:val="Hyperlink"/>
                <w:noProof/>
                <w:lang w:val="en-US"/>
              </w:rPr>
              <w:t>Encouraging Compliance</w:t>
            </w:r>
            <w:r w:rsidR="005D71B7">
              <w:rPr>
                <w:noProof/>
                <w:webHidden/>
              </w:rPr>
              <w:tab/>
            </w:r>
            <w:r w:rsidR="005D71B7">
              <w:rPr>
                <w:noProof/>
                <w:webHidden/>
              </w:rPr>
              <w:fldChar w:fldCharType="begin"/>
            </w:r>
            <w:r w:rsidR="005D71B7">
              <w:rPr>
                <w:noProof/>
                <w:webHidden/>
              </w:rPr>
              <w:instrText xml:space="preserve"> PAGEREF _Toc505751502 \h </w:instrText>
            </w:r>
            <w:r w:rsidR="005D71B7">
              <w:rPr>
                <w:noProof/>
                <w:webHidden/>
              </w:rPr>
            </w:r>
            <w:r w:rsidR="005D71B7">
              <w:rPr>
                <w:noProof/>
                <w:webHidden/>
              </w:rPr>
              <w:fldChar w:fldCharType="separate"/>
            </w:r>
            <w:r w:rsidR="005D71B7">
              <w:rPr>
                <w:noProof/>
                <w:webHidden/>
              </w:rPr>
              <w:t>21</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503" w:history="1">
            <w:r w:rsidR="005D71B7" w:rsidRPr="00C8633E">
              <w:rPr>
                <w:rStyle w:val="Hyperlink"/>
                <w:noProof/>
                <w:lang w:val="en-US"/>
              </w:rPr>
              <w:t>f)</w:t>
            </w:r>
            <w:r w:rsidR="005D71B7">
              <w:rPr>
                <w:rFonts w:eastAsiaTheme="minorEastAsia"/>
                <w:noProof/>
                <w:lang w:eastAsia="en-CA"/>
              </w:rPr>
              <w:tab/>
            </w:r>
            <w:r w:rsidR="005D71B7" w:rsidRPr="00C8633E">
              <w:rPr>
                <w:rStyle w:val="Hyperlink"/>
                <w:noProof/>
                <w:lang w:val="en-US"/>
              </w:rPr>
              <w:t>Raising Public Awareness (and Promoting Systemic Culture Change)</w:t>
            </w:r>
            <w:r w:rsidR="005D71B7">
              <w:rPr>
                <w:noProof/>
                <w:webHidden/>
              </w:rPr>
              <w:tab/>
            </w:r>
            <w:r w:rsidR="005D71B7">
              <w:rPr>
                <w:noProof/>
                <w:webHidden/>
              </w:rPr>
              <w:fldChar w:fldCharType="begin"/>
            </w:r>
            <w:r w:rsidR="005D71B7">
              <w:rPr>
                <w:noProof/>
                <w:webHidden/>
              </w:rPr>
              <w:instrText xml:space="preserve"> PAGEREF _Toc505751503 \h </w:instrText>
            </w:r>
            <w:r w:rsidR="005D71B7">
              <w:rPr>
                <w:noProof/>
                <w:webHidden/>
              </w:rPr>
            </w:r>
            <w:r w:rsidR="005D71B7">
              <w:rPr>
                <w:noProof/>
                <w:webHidden/>
              </w:rPr>
              <w:fldChar w:fldCharType="separate"/>
            </w:r>
            <w:r w:rsidR="005D71B7">
              <w:rPr>
                <w:noProof/>
                <w:webHidden/>
              </w:rPr>
              <w:t>21</w:t>
            </w:r>
            <w:r w:rsidR="005D71B7">
              <w:rPr>
                <w:noProof/>
                <w:webHidden/>
              </w:rPr>
              <w:fldChar w:fldCharType="end"/>
            </w:r>
          </w:hyperlink>
        </w:p>
        <w:p w:rsidR="005D71B7" w:rsidRDefault="00716503">
          <w:pPr>
            <w:pStyle w:val="TOC2"/>
            <w:tabs>
              <w:tab w:val="left" w:pos="660"/>
              <w:tab w:val="right" w:leader="dot" w:pos="9350"/>
            </w:tabs>
            <w:rPr>
              <w:rFonts w:eastAsiaTheme="minorEastAsia"/>
              <w:noProof/>
              <w:lang w:eastAsia="en-CA"/>
            </w:rPr>
          </w:pPr>
          <w:hyperlink w:anchor="_Toc505751504" w:history="1">
            <w:r w:rsidR="005D71B7" w:rsidRPr="00C8633E">
              <w:rPr>
                <w:rStyle w:val="Hyperlink"/>
                <w:noProof/>
                <w:lang w:val="en-US"/>
              </w:rPr>
              <w:t>g)</w:t>
            </w:r>
            <w:r w:rsidR="005D71B7">
              <w:rPr>
                <w:rFonts w:eastAsiaTheme="minorEastAsia"/>
                <w:noProof/>
                <w:lang w:eastAsia="en-CA"/>
              </w:rPr>
              <w:tab/>
            </w:r>
            <w:r w:rsidR="005D71B7" w:rsidRPr="00C8633E">
              <w:rPr>
                <w:rStyle w:val="Hyperlink"/>
                <w:noProof/>
                <w:lang w:val="en-US"/>
              </w:rPr>
              <w:t>Public Education</w:t>
            </w:r>
            <w:r w:rsidR="005D71B7">
              <w:rPr>
                <w:noProof/>
                <w:webHidden/>
              </w:rPr>
              <w:tab/>
            </w:r>
            <w:r w:rsidR="005D71B7">
              <w:rPr>
                <w:noProof/>
                <w:webHidden/>
              </w:rPr>
              <w:fldChar w:fldCharType="begin"/>
            </w:r>
            <w:r w:rsidR="005D71B7">
              <w:rPr>
                <w:noProof/>
                <w:webHidden/>
              </w:rPr>
              <w:instrText xml:space="preserve"> PAGEREF _Toc505751504 \h </w:instrText>
            </w:r>
            <w:r w:rsidR="005D71B7">
              <w:rPr>
                <w:noProof/>
                <w:webHidden/>
              </w:rPr>
            </w:r>
            <w:r w:rsidR="005D71B7">
              <w:rPr>
                <w:noProof/>
                <w:webHidden/>
              </w:rPr>
              <w:fldChar w:fldCharType="separate"/>
            </w:r>
            <w:r w:rsidR="005D71B7">
              <w:rPr>
                <w:noProof/>
                <w:webHidden/>
              </w:rPr>
              <w:t>22</w:t>
            </w:r>
            <w:r w:rsidR="005D71B7">
              <w:rPr>
                <w:noProof/>
                <w:webHidden/>
              </w:rPr>
              <w:fldChar w:fldCharType="end"/>
            </w:r>
          </w:hyperlink>
        </w:p>
        <w:p w:rsidR="005D71B7" w:rsidRDefault="00716503">
          <w:pPr>
            <w:pStyle w:val="TOC1"/>
            <w:tabs>
              <w:tab w:val="left" w:pos="440"/>
              <w:tab w:val="right" w:leader="dot" w:pos="9350"/>
            </w:tabs>
            <w:rPr>
              <w:rFonts w:eastAsiaTheme="minorEastAsia"/>
              <w:noProof/>
              <w:lang w:eastAsia="en-CA"/>
            </w:rPr>
          </w:pPr>
          <w:hyperlink w:anchor="_Toc505751505" w:history="1">
            <w:r w:rsidR="005D71B7" w:rsidRPr="00C8633E">
              <w:rPr>
                <w:rStyle w:val="Hyperlink"/>
                <w:noProof/>
              </w:rPr>
              <w:t>6)</w:t>
            </w:r>
            <w:r w:rsidR="005D71B7">
              <w:rPr>
                <w:rFonts w:eastAsiaTheme="minorEastAsia"/>
                <w:noProof/>
                <w:lang w:eastAsia="en-CA"/>
              </w:rPr>
              <w:tab/>
            </w:r>
            <w:r w:rsidR="005D71B7" w:rsidRPr="00C8633E">
              <w:rPr>
                <w:rStyle w:val="Hyperlink"/>
                <w:noProof/>
              </w:rPr>
              <w:t>Other Lessons Learned– Successes, Challenges &amp; Key Considerations for the Federal Government</w:t>
            </w:r>
            <w:r w:rsidR="005D71B7">
              <w:rPr>
                <w:noProof/>
                <w:webHidden/>
              </w:rPr>
              <w:tab/>
            </w:r>
            <w:r w:rsidR="005D71B7">
              <w:rPr>
                <w:noProof/>
                <w:webHidden/>
              </w:rPr>
              <w:fldChar w:fldCharType="begin"/>
            </w:r>
            <w:r w:rsidR="005D71B7">
              <w:rPr>
                <w:noProof/>
                <w:webHidden/>
              </w:rPr>
              <w:instrText xml:space="preserve"> PAGEREF _Toc505751505 \h </w:instrText>
            </w:r>
            <w:r w:rsidR="005D71B7">
              <w:rPr>
                <w:noProof/>
                <w:webHidden/>
              </w:rPr>
            </w:r>
            <w:r w:rsidR="005D71B7">
              <w:rPr>
                <w:noProof/>
                <w:webHidden/>
              </w:rPr>
              <w:fldChar w:fldCharType="separate"/>
            </w:r>
            <w:r w:rsidR="005D71B7">
              <w:rPr>
                <w:noProof/>
                <w:webHidden/>
              </w:rPr>
              <w:t>23</w:t>
            </w:r>
            <w:r w:rsidR="005D71B7">
              <w:rPr>
                <w:noProof/>
                <w:webHidden/>
              </w:rPr>
              <w:fldChar w:fldCharType="end"/>
            </w:r>
          </w:hyperlink>
        </w:p>
        <w:p w:rsidR="005D71B7" w:rsidRDefault="00716503">
          <w:pPr>
            <w:pStyle w:val="TOC1"/>
            <w:tabs>
              <w:tab w:val="left" w:pos="440"/>
              <w:tab w:val="right" w:leader="dot" w:pos="9350"/>
            </w:tabs>
            <w:rPr>
              <w:rFonts w:eastAsiaTheme="minorEastAsia"/>
              <w:noProof/>
              <w:lang w:eastAsia="en-CA"/>
            </w:rPr>
          </w:pPr>
          <w:hyperlink w:anchor="_Toc505751506" w:history="1">
            <w:r w:rsidR="005D71B7" w:rsidRPr="00C8633E">
              <w:rPr>
                <w:rStyle w:val="Hyperlink"/>
                <w:noProof/>
              </w:rPr>
              <w:t>7)</w:t>
            </w:r>
            <w:r w:rsidR="005D71B7">
              <w:rPr>
                <w:rFonts w:eastAsiaTheme="minorEastAsia"/>
                <w:noProof/>
                <w:lang w:eastAsia="en-CA"/>
              </w:rPr>
              <w:tab/>
            </w:r>
            <w:r w:rsidR="005D71B7" w:rsidRPr="00C8633E">
              <w:rPr>
                <w:rStyle w:val="Hyperlink"/>
                <w:noProof/>
              </w:rPr>
              <w:t>Summary of Recommendations</w:t>
            </w:r>
            <w:r w:rsidR="005D71B7">
              <w:rPr>
                <w:noProof/>
                <w:webHidden/>
              </w:rPr>
              <w:tab/>
            </w:r>
            <w:r w:rsidR="005D71B7">
              <w:rPr>
                <w:noProof/>
                <w:webHidden/>
              </w:rPr>
              <w:fldChar w:fldCharType="begin"/>
            </w:r>
            <w:r w:rsidR="005D71B7">
              <w:rPr>
                <w:noProof/>
                <w:webHidden/>
              </w:rPr>
              <w:instrText xml:space="preserve"> PAGEREF _Toc505751506 \h </w:instrText>
            </w:r>
            <w:r w:rsidR="005D71B7">
              <w:rPr>
                <w:noProof/>
                <w:webHidden/>
              </w:rPr>
            </w:r>
            <w:r w:rsidR="005D71B7">
              <w:rPr>
                <w:noProof/>
                <w:webHidden/>
              </w:rPr>
              <w:fldChar w:fldCharType="separate"/>
            </w:r>
            <w:r w:rsidR="005D71B7">
              <w:rPr>
                <w:noProof/>
                <w:webHidden/>
              </w:rPr>
              <w:t>24</w:t>
            </w:r>
            <w:r w:rsidR="005D71B7">
              <w:rPr>
                <w:noProof/>
                <w:webHidden/>
              </w:rPr>
              <w:fldChar w:fldCharType="end"/>
            </w:r>
          </w:hyperlink>
        </w:p>
        <w:p w:rsidR="005D71B7" w:rsidRDefault="00716503">
          <w:pPr>
            <w:pStyle w:val="TOC1"/>
            <w:tabs>
              <w:tab w:val="right" w:leader="dot" w:pos="9350"/>
            </w:tabs>
            <w:rPr>
              <w:rFonts w:eastAsiaTheme="minorEastAsia"/>
              <w:noProof/>
              <w:lang w:eastAsia="en-CA"/>
            </w:rPr>
          </w:pPr>
          <w:hyperlink w:anchor="_Toc505751507" w:history="1">
            <w:r w:rsidR="005D71B7" w:rsidRPr="00C8633E">
              <w:rPr>
                <w:rStyle w:val="Hyperlink"/>
                <w:noProof/>
              </w:rPr>
              <w:t>Bibliography of Works Referenced</w:t>
            </w:r>
            <w:r w:rsidR="005D71B7">
              <w:rPr>
                <w:noProof/>
                <w:webHidden/>
              </w:rPr>
              <w:tab/>
            </w:r>
            <w:r w:rsidR="005D71B7">
              <w:rPr>
                <w:noProof/>
                <w:webHidden/>
              </w:rPr>
              <w:fldChar w:fldCharType="begin"/>
            </w:r>
            <w:r w:rsidR="005D71B7">
              <w:rPr>
                <w:noProof/>
                <w:webHidden/>
              </w:rPr>
              <w:instrText xml:space="preserve"> PAGEREF _Toc505751507 \h </w:instrText>
            </w:r>
            <w:r w:rsidR="005D71B7">
              <w:rPr>
                <w:noProof/>
                <w:webHidden/>
              </w:rPr>
            </w:r>
            <w:r w:rsidR="005D71B7">
              <w:rPr>
                <w:noProof/>
                <w:webHidden/>
              </w:rPr>
              <w:fldChar w:fldCharType="separate"/>
            </w:r>
            <w:r w:rsidR="005D71B7">
              <w:rPr>
                <w:noProof/>
                <w:webHidden/>
              </w:rPr>
              <w:t>28</w:t>
            </w:r>
            <w:r w:rsidR="005D71B7">
              <w:rPr>
                <w:noProof/>
                <w:webHidden/>
              </w:rPr>
              <w:fldChar w:fldCharType="end"/>
            </w:r>
          </w:hyperlink>
        </w:p>
        <w:p w:rsidR="005D71B7" w:rsidRDefault="00716503">
          <w:pPr>
            <w:pStyle w:val="TOC1"/>
            <w:tabs>
              <w:tab w:val="right" w:leader="dot" w:pos="9350"/>
            </w:tabs>
            <w:rPr>
              <w:rFonts w:eastAsiaTheme="minorEastAsia"/>
              <w:noProof/>
              <w:lang w:eastAsia="en-CA"/>
            </w:rPr>
          </w:pPr>
          <w:hyperlink w:anchor="_Toc505751508" w:history="1">
            <w:r w:rsidR="005D71B7" w:rsidRPr="00C8633E">
              <w:rPr>
                <w:rStyle w:val="Hyperlink"/>
                <w:noProof/>
              </w:rPr>
              <w:t>Appendix A– Interview Questions and List of Interviewees</w:t>
            </w:r>
            <w:r w:rsidR="005D71B7">
              <w:rPr>
                <w:noProof/>
                <w:webHidden/>
              </w:rPr>
              <w:tab/>
            </w:r>
            <w:r w:rsidR="005D71B7">
              <w:rPr>
                <w:noProof/>
                <w:webHidden/>
              </w:rPr>
              <w:fldChar w:fldCharType="begin"/>
            </w:r>
            <w:r w:rsidR="005D71B7">
              <w:rPr>
                <w:noProof/>
                <w:webHidden/>
              </w:rPr>
              <w:instrText xml:space="preserve"> PAGEREF _Toc505751508 \h </w:instrText>
            </w:r>
            <w:r w:rsidR="005D71B7">
              <w:rPr>
                <w:noProof/>
                <w:webHidden/>
              </w:rPr>
            </w:r>
            <w:r w:rsidR="005D71B7">
              <w:rPr>
                <w:noProof/>
                <w:webHidden/>
              </w:rPr>
              <w:fldChar w:fldCharType="separate"/>
            </w:r>
            <w:r w:rsidR="005D71B7">
              <w:rPr>
                <w:noProof/>
                <w:webHidden/>
              </w:rPr>
              <w:t>35</w:t>
            </w:r>
            <w:r w:rsidR="005D71B7">
              <w:rPr>
                <w:noProof/>
                <w:webHidden/>
              </w:rPr>
              <w:fldChar w:fldCharType="end"/>
            </w:r>
          </w:hyperlink>
        </w:p>
        <w:p w:rsidR="005D71B7" w:rsidRDefault="00716503">
          <w:pPr>
            <w:pStyle w:val="TOC2"/>
            <w:tabs>
              <w:tab w:val="right" w:leader="dot" w:pos="9350"/>
            </w:tabs>
            <w:rPr>
              <w:rFonts w:eastAsiaTheme="minorEastAsia"/>
              <w:noProof/>
              <w:lang w:eastAsia="en-CA"/>
            </w:rPr>
          </w:pPr>
          <w:hyperlink w:anchor="_Toc505751509" w:history="1">
            <w:r w:rsidR="005D71B7" w:rsidRPr="00C8633E">
              <w:rPr>
                <w:rStyle w:val="Hyperlink"/>
                <w:noProof/>
              </w:rPr>
              <w:t>Interview Topic Guide</w:t>
            </w:r>
            <w:r w:rsidR="005D71B7">
              <w:rPr>
                <w:noProof/>
                <w:webHidden/>
              </w:rPr>
              <w:tab/>
            </w:r>
            <w:r w:rsidR="005D71B7">
              <w:rPr>
                <w:noProof/>
                <w:webHidden/>
              </w:rPr>
              <w:fldChar w:fldCharType="begin"/>
            </w:r>
            <w:r w:rsidR="005D71B7">
              <w:rPr>
                <w:noProof/>
                <w:webHidden/>
              </w:rPr>
              <w:instrText xml:space="preserve"> PAGEREF _Toc505751509 \h </w:instrText>
            </w:r>
            <w:r w:rsidR="005D71B7">
              <w:rPr>
                <w:noProof/>
                <w:webHidden/>
              </w:rPr>
            </w:r>
            <w:r w:rsidR="005D71B7">
              <w:rPr>
                <w:noProof/>
                <w:webHidden/>
              </w:rPr>
              <w:fldChar w:fldCharType="separate"/>
            </w:r>
            <w:r w:rsidR="005D71B7">
              <w:rPr>
                <w:noProof/>
                <w:webHidden/>
              </w:rPr>
              <w:t>35</w:t>
            </w:r>
            <w:r w:rsidR="005D71B7">
              <w:rPr>
                <w:noProof/>
                <w:webHidden/>
              </w:rPr>
              <w:fldChar w:fldCharType="end"/>
            </w:r>
          </w:hyperlink>
        </w:p>
        <w:p w:rsidR="005D71B7" w:rsidRDefault="00716503">
          <w:pPr>
            <w:pStyle w:val="TOC2"/>
            <w:tabs>
              <w:tab w:val="right" w:leader="dot" w:pos="9350"/>
            </w:tabs>
            <w:rPr>
              <w:rFonts w:eastAsiaTheme="minorEastAsia"/>
              <w:noProof/>
              <w:lang w:eastAsia="en-CA"/>
            </w:rPr>
          </w:pPr>
          <w:hyperlink w:anchor="_Toc505751510" w:history="1">
            <w:r w:rsidR="005D71B7" w:rsidRPr="00C8633E">
              <w:rPr>
                <w:rStyle w:val="Hyperlink"/>
                <w:noProof/>
              </w:rPr>
              <w:t>List of Interviewees</w:t>
            </w:r>
            <w:r w:rsidR="005D71B7">
              <w:rPr>
                <w:noProof/>
                <w:webHidden/>
              </w:rPr>
              <w:tab/>
            </w:r>
            <w:r w:rsidR="005D71B7">
              <w:rPr>
                <w:noProof/>
                <w:webHidden/>
              </w:rPr>
              <w:fldChar w:fldCharType="begin"/>
            </w:r>
            <w:r w:rsidR="005D71B7">
              <w:rPr>
                <w:noProof/>
                <w:webHidden/>
              </w:rPr>
              <w:instrText xml:space="preserve"> PAGEREF _Toc505751510 \h </w:instrText>
            </w:r>
            <w:r w:rsidR="005D71B7">
              <w:rPr>
                <w:noProof/>
                <w:webHidden/>
              </w:rPr>
            </w:r>
            <w:r w:rsidR="005D71B7">
              <w:rPr>
                <w:noProof/>
                <w:webHidden/>
              </w:rPr>
              <w:fldChar w:fldCharType="separate"/>
            </w:r>
            <w:r w:rsidR="005D71B7">
              <w:rPr>
                <w:noProof/>
                <w:webHidden/>
              </w:rPr>
              <w:t>37</w:t>
            </w:r>
            <w:r w:rsidR="005D71B7">
              <w:rPr>
                <w:noProof/>
                <w:webHidden/>
              </w:rPr>
              <w:fldChar w:fldCharType="end"/>
            </w:r>
          </w:hyperlink>
        </w:p>
        <w:p w:rsidR="005D71B7" w:rsidRDefault="00716503">
          <w:pPr>
            <w:pStyle w:val="TOC1"/>
            <w:tabs>
              <w:tab w:val="right" w:leader="dot" w:pos="9350"/>
            </w:tabs>
            <w:rPr>
              <w:rFonts w:eastAsiaTheme="minorEastAsia"/>
              <w:noProof/>
              <w:lang w:eastAsia="en-CA"/>
            </w:rPr>
          </w:pPr>
          <w:hyperlink w:anchor="_Toc505751511" w:history="1">
            <w:r w:rsidR="005D71B7" w:rsidRPr="00C8633E">
              <w:rPr>
                <w:rStyle w:val="Hyperlink"/>
                <w:noProof/>
              </w:rPr>
              <w:t>Appendix B – Tables of Governance Functions in Canadian and International Accessibility Laws</w:t>
            </w:r>
            <w:r w:rsidR="005D71B7">
              <w:rPr>
                <w:noProof/>
                <w:webHidden/>
              </w:rPr>
              <w:tab/>
            </w:r>
            <w:r w:rsidR="005D71B7">
              <w:rPr>
                <w:noProof/>
                <w:webHidden/>
              </w:rPr>
              <w:fldChar w:fldCharType="begin"/>
            </w:r>
            <w:r w:rsidR="005D71B7">
              <w:rPr>
                <w:noProof/>
                <w:webHidden/>
              </w:rPr>
              <w:instrText xml:space="preserve"> PAGEREF _Toc505751511 \h </w:instrText>
            </w:r>
            <w:r w:rsidR="005D71B7">
              <w:rPr>
                <w:noProof/>
                <w:webHidden/>
              </w:rPr>
            </w:r>
            <w:r w:rsidR="005D71B7">
              <w:rPr>
                <w:noProof/>
                <w:webHidden/>
              </w:rPr>
              <w:fldChar w:fldCharType="separate"/>
            </w:r>
            <w:r w:rsidR="005D71B7">
              <w:rPr>
                <w:noProof/>
                <w:webHidden/>
              </w:rPr>
              <w:t>38</w:t>
            </w:r>
            <w:r w:rsidR="005D71B7">
              <w:rPr>
                <w:noProof/>
                <w:webHidden/>
              </w:rPr>
              <w:fldChar w:fldCharType="end"/>
            </w:r>
          </w:hyperlink>
        </w:p>
        <w:p w:rsidR="00A65CAF" w:rsidRDefault="00A65CAF">
          <w:r>
            <w:rPr>
              <w:b/>
              <w:bCs/>
              <w:noProof/>
            </w:rPr>
            <w:fldChar w:fldCharType="end"/>
          </w:r>
        </w:p>
      </w:sdtContent>
    </w:sdt>
    <w:p w:rsidR="0048402C" w:rsidRDefault="0048402C" w:rsidP="00EF24AC">
      <w:pPr>
        <w:pStyle w:val="Title"/>
      </w:pPr>
    </w:p>
    <w:p w:rsidR="0048402C" w:rsidRDefault="0048402C" w:rsidP="00EF24AC">
      <w:pPr>
        <w:pStyle w:val="Title"/>
      </w:pPr>
    </w:p>
    <w:p w:rsidR="00AF150E" w:rsidRDefault="00AF150E" w:rsidP="00AF150E"/>
    <w:p w:rsidR="00AF150E" w:rsidRPr="00AF150E" w:rsidRDefault="00AF150E" w:rsidP="00AF150E"/>
    <w:p w:rsidR="002C6B58" w:rsidRDefault="00716503" w:rsidP="00EF24AC">
      <w:pPr>
        <w:pStyle w:val="Title"/>
      </w:pPr>
      <w:sdt>
        <w:sdtPr>
          <w:rPr>
            <w:lang w:eastAsia="en-CA"/>
          </w:rPr>
          <w:alias w:val="Title"/>
          <w:id w:val="-1109667039"/>
          <w:dataBinding w:prefixMappings="xmlns:ns0='http://schemas.openxmlformats.org/package/2006/metadata/core-properties' xmlns:ns1='http://purl.org/dc/elements/1.1/'" w:xpath="/ns0:coreProperties[1]/ns1:title[1]" w:storeItemID="{6C3C8BC8-F283-45AE-878A-BAB7291924A1}"/>
          <w:text/>
        </w:sdtPr>
        <w:sdtEndPr/>
        <w:sdtContent>
          <w:r w:rsidR="00420E4D" w:rsidRPr="00D72CF2">
            <w:rPr>
              <w:lang w:eastAsia="en-CA"/>
            </w:rPr>
            <w:t>The Interplay Between Human Rights and Accessibility Laws:</w:t>
          </w:r>
        </w:sdtContent>
      </w:sdt>
      <w:r w:rsidR="00420E4D">
        <w:t xml:space="preserve"> </w:t>
      </w:r>
      <w:r w:rsidR="002C6B58" w:rsidRPr="002C6B58">
        <w:t xml:space="preserve">Lessons Learned and Considerations for the Planned Federal Accessibility Legislation </w:t>
      </w:r>
    </w:p>
    <w:p w:rsidR="00D07C98" w:rsidRPr="00B41FBE" w:rsidRDefault="00EF24AC" w:rsidP="00D07C98">
      <w:pPr>
        <w:pStyle w:val="Subtitle"/>
        <w:spacing w:after="0"/>
        <w:jc w:val="right"/>
        <w:rPr>
          <w:i w:val="0"/>
        </w:rPr>
      </w:pPr>
      <w:r w:rsidRPr="00B41FBE">
        <w:rPr>
          <w:i w:val="0"/>
        </w:rPr>
        <w:t>Laverne Jacobs</w:t>
      </w:r>
      <w:r w:rsidR="0099453E" w:rsidRPr="00623B9C">
        <w:rPr>
          <w:rStyle w:val="FootnoteReference"/>
        </w:rPr>
        <w:footnoteReference w:customMarkFollows="1" w:id="1"/>
        <w:sym w:font="Symbol" w:char="F02A"/>
      </w:r>
    </w:p>
    <w:p w:rsidR="00D07C98" w:rsidRPr="00D07C98" w:rsidRDefault="00D07C98" w:rsidP="00D07C98">
      <w:pPr>
        <w:jc w:val="right"/>
      </w:pPr>
    </w:p>
    <w:p w:rsidR="002D2026" w:rsidRDefault="002D2026" w:rsidP="003B60AB">
      <w:pPr>
        <w:pStyle w:val="Heading1"/>
        <w:numPr>
          <w:ilvl w:val="0"/>
          <w:numId w:val="15"/>
        </w:numPr>
      </w:pPr>
      <w:bookmarkStart w:id="0" w:name="_Toc505751490"/>
      <w:r>
        <w:t>Executive Summary</w:t>
      </w:r>
      <w:bookmarkEnd w:id="0"/>
    </w:p>
    <w:p w:rsidR="00C03C7E" w:rsidRDefault="00C03C7E" w:rsidP="002D2026"/>
    <w:p w:rsidR="00C03C7E" w:rsidRDefault="00C03C7E" w:rsidP="00C03C7E">
      <w:pPr>
        <w:jc w:val="both"/>
      </w:pPr>
      <w:r>
        <w:t xml:space="preserve">People with disabilities in Canada have fought a long battle to have accessibility standards legislation enacted to assist with breaking down barriers to disability equality in society. </w:t>
      </w:r>
      <w:r>
        <w:rPr>
          <w:lang w:val="en-US"/>
        </w:rPr>
        <w:t>The purpose of the social movement toward accessibility standards legislation was to establish a distinct, proactive system for realizing equality rights for people with disabilities.</w:t>
      </w:r>
      <w:r w:rsidR="008967B3" w:rsidRPr="008967B3">
        <w:rPr>
          <w:lang w:val="en-US"/>
        </w:rPr>
        <w:t xml:space="preserve"> </w:t>
      </w:r>
    </w:p>
    <w:p w:rsidR="00C03C7E" w:rsidRDefault="00C03C7E" w:rsidP="00C03C7E">
      <w:pPr>
        <w:jc w:val="both"/>
      </w:pPr>
      <w:r>
        <w:t xml:space="preserve">The federal government has proposed to introduce legislation that will </w:t>
      </w:r>
      <w:r w:rsidR="008967B3">
        <w:t xml:space="preserve">likely </w:t>
      </w:r>
      <w:r>
        <w:t xml:space="preserve">establish a framework for the development of accessibility standards within Canada’s federal legislative jurisdiction.  This follows on the heels of accessibility legislation being enacted in Ontario (2005), Manitoba (2013) and, most recently, Nova Scotia (2017). </w:t>
      </w:r>
    </w:p>
    <w:p w:rsidR="00C03C7E" w:rsidRDefault="00C03C7E" w:rsidP="00C03C7E">
      <w:pPr>
        <w:jc w:val="both"/>
      </w:pPr>
      <w:r>
        <w:t xml:space="preserve">Public consultations in 2016-17 for the proposed federal accessibility legislation identified confusion about the practical differences between human rights laws and accessibility laws, and the need for more clarity about how these two laws interact. This study was commissioned to examine the interplay between human rights legislation and accessibility legislation in Canada and internationally. </w:t>
      </w:r>
    </w:p>
    <w:p w:rsidR="00C03C7E" w:rsidRDefault="00C03C7E" w:rsidP="00C03C7E">
      <w:pPr>
        <w:jc w:val="both"/>
      </w:pPr>
      <w:r>
        <w:t xml:space="preserve">In this study, the author analyzes, comparatively, the administrative governance functions of legislation that provides accessibility standards in six jurisdictions that also </w:t>
      </w:r>
      <w:r w:rsidR="002C6B58">
        <w:t xml:space="preserve">offer legal protection from </w:t>
      </w:r>
      <w:r>
        <w:t xml:space="preserve">discrimination to people with disabilities:  Australia, the United Kingdom, the United States and the Canadian provinces of Ontario, Manitoba and Nova Scotia. The following governance functions were examined: a) creating accessibility standards, b) enforcing accessibility standards, c) enforcing decisions, d) encouraging compliance, e) raising public awareness (and promoting systemic culture change) and f) public education. The study was conducted with a view to understanding how human rights laws, principles and values can be used to further and strengthen disability access laws on the ground. </w:t>
      </w:r>
    </w:p>
    <w:p w:rsidR="00C03C7E" w:rsidRDefault="00C03C7E" w:rsidP="00C03C7E">
      <w:pPr>
        <w:jc w:val="both"/>
        <w:rPr>
          <w:lang w:val="en-US"/>
        </w:rPr>
      </w:pPr>
      <w:r>
        <w:rPr>
          <w:lang w:val="en-US"/>
        </w:rPr>
        <w:t>This research study is based on a review of relevant legislation and jurisprudence, pertinent literature emanating from the disability community, scholars, NGOs</w:t>
      </w:r>
      <w:r w:rsidR="00352830">
        <w:rPr>
          <w:lang w:val="en-US"/>
        </w:rPr>
        <w:t>, and government, including accessibility directorates and</w:t>
      </w:r>
      <w:r>
        <w:rPr>
          <w:lang w:val="en-US"/>
        </w:rPr>
        <w:t xml:space="preserve"> Statistics Canada. </w:t>
      </w:r>
      <w:r>
        <w:t>Interviews were also conducted with past and current government officials who have worked closely on the administration and enforcement of accessibility standard legislation.</w:t>
      </w:r>
      <w:r>
        <w:rPr>
          <w:lang w:val="en-US"/>
        </w:rPr>
        <w:t xml:space="preserve"> Detailed tables outlining the bodies that exercise each governance function, the ways in which they are exercised and the manner in which they interact with human rights laws and values are provided in Appendix B.</w:t>
      </w:r>
    </w:p>
    <w:p w:rsidR="00C03C7E" w:rsidRDefault="00C03C7E" w:rsidP="00C03C7E">
      <w:pPr>
        <w:jc w:val="both"/>
        <w:rPr>
          <w:lang w:val="en-US"/>
        </w:rPr>
      </w:pPr>
      <w:r>
        <w:rPr>
          <w:lang w:val="en-US"/>
        </w:rPr>
        <w:t xml:space="preserve">The research findings determine that there are two main types of accessibility standard: a) standards that are established independent of antidiscrimination legislation but which depend on antidiscrimination legal concepts, such as those created in the Canadian provinces and b) standards that are created within an antidiscrimination legal regulatory framework, such as the </w:t>
      </w:r>
      <w:r>
        <w:t>standards developed for transport, education and premises in Australia</w:t>
      </w:r>
      <w:r>
        <w:rPr>
          <w:lang w:val="en-US"/>
        </w:rPr>
        <w:t xml:space="preserve">.  Both types of standard have the potential to create confusion, particularly as the accessibility legislation in many jurisdictions contain a clause protecting the right of the person with a disability to obtain greater protection offered by another law. </w:t>
      </w:r>
      <w:r w:rsidR="00514B8F">
        <w:rPr>
          <w:lang w:val="en-US"/>
        </w:rPr>
        <w:t>From</w:t>
      </w:r>
      <w:r>
        <w:rPr>
          <w:lang w:val="en-US"/>
        </w:rPr>
        <w:t xml:space="preserve"> a review of the tools used in other jurisdictions, the author proposes ways to alleviate this confusion while preserving the distinct proactive standard-setting approach that has been developed in three provinces.</w:t>
      </w:r>
    </w:p>
    <w:p w:rsidR="00C03C7E" w:rsidRDefault="00C03C7E" w:rsidP="00C03C7E">
      <w:pPr>
        <w:jc w:val="both"/>
        <w:rPr>
          <w:lang w:val="en-US"/>
        </w:rPr>
      </w:pPr>
      <w:r>
        <w:rPr>
          <w:lang w:val="en-US"/>
        </w:rPr>
        <w:t xml:space="preserve">Based on the research findings, several recommendations are also made regarding the complete set of governance functions examined. These recommendations include:  incorporating a mechanism for public enforcement within the enforcement of accessibility standards, incorporating human rights supports and technical expertise within the development of standards, strengthening the statutory language to ensure an inclusive equality approach, avoiding confusion between reactive and proactive approaches to accessibility legislation by keeping the two systems distinct, and, establishing a Commissioner to take leadership in promoting awareness and systemic culture change, in encouraging compliance and in public education both across the federal government and with the general public. (A Summary of Recommendations, which provides a list of all recommendations, is available in the report). Other key considerations derived from the research that the federal government should keep in mind include: the potential benefits of </w:t>
      </w:r>
      <w:r>
        <w:t>working with familiar statutory terminology, using the language of accessibility and inclusion, keeping a place for federal provincial and territorial consultation, and the question of whether to use the Canadian Human Rights Commission to administer the proposed federal accessibility legislation.</w:t>
      </w:r>
    </w:p>
    <w:p w:rsidR="00C03C7E" w:rsidRDefault="00C03C7E" w:rsidP="00C03C7E">
      <w:pPr>
        <w:jc w:val="both"/>
      </w:pPr>
      <w:r>
        <w:rPr>
          <w:lang w:val="en-US"/>
        </w:rPr>
        <w:t xml:space="preserve">Finally, throughout this report, the author argues </w:t>
      </w:r>
      <w:r>
        <w:t>that all administrative governance functions in the proposed federal accessibility legislation should be guided by and promote an inclusive equality approach.  Inclusive equality is a theoretical framework put forward by the UN that focuses on recognizing the intersectionality of individuals with disabilities in their experiences of disability discrimination. Power relations and the socio-historical context surrounding legal efforts to realize equality by people with disabilities within a reactive regulatory (complaints-based and adjudicative) system should also be considered through this lens.</w:t>
      </w:r>
    </w:p>
    <w:p w:rsidR="00C03C7E" w:rsidRDefault="00C03C7E" w:rsidP="00C03C7E">
      <w:pPr>
        <w:jc w:val="both"/>
        <w:rPr>
          <w:lang w:val="en-US"/>
        </w:rPr>
      </w:pPr>
      <w:r>
        <w:rPr>
          <w:lang w:val="en-US"/>
        </w:rPr>
        <w:t>As a piece of proactive legislation, the proposed federal accessibility legislation has the hefty objective of addressing barriers to accessibility in the federal sphere and to ensure that they are dismantled, preferably before they pose a problem to people within the disability community. Through the very nature of creating standards to dismantle barriers, accessibility legislation generally concerns the structural and systemic inequalities faced by people with disabilities. While a proactive regulatory system such as that of the proposed federal accessibility legislation has the potential to realize the equality rights of people with disabilities by creating standards to break down barriers, it can only be successful if designed within a framework that is attentive to the social reality in which people with disabilities live, as well as to the social context in which disability equality claims arise.</w:t>
      </w:r>
    </w:p>
    <w:p w:rsidR="00650D78" w:rsidRDefault="00650D78"/>
    <w:p w:rsidR="00650D78" w:rsidRDefault="00650D78"/>
    <w:p w:rsidR="002C6B58" w:rsidRPr="00650D78" w:rsidRDefault="00650D78">
      <w:pPr>
        <w:rPr>
          <w:i/>
        </w:rPr>
      </w:pPr>
      <w:r w:rsidRPr="00650D78">
        <w:rPr>
          <w:i/>
        </w:rPr>
        <w:t>The author thanks Employment and Social Development Canada (Government of Canada) (ESDC) for its support of this research. The views expressed in this document are those of the author and not those of ESDC.</w:t>
      </w:r>
      <w:r w:rsidR="002C6B58" w:rsidRPr="00650D78">
        <w:rPr>
          <w:i/>
        </w:rPr>
        <w:br w:type="page"/>
      </w:r>
    </w:p>
    <w:p w:rsidR="002D2026" w:rsidRDefault="002D2026" w:rsidP="002D2026">
      <w:pPr>
        <w:pStyle w:val="Heading1"/>
        <w:numPr>
          <w:ilvl w:val="0"/>
          <w:numId w:val="15"/>
        </w:numPr>
      </w:pPr>
      <w:bookmarkStart w:id="1" w:name="_Toc505751491"/>
      <w:r>
        <w:t>Glossary of Terms</w:t>
      </w:r>
      <w:bookmarkEnd w:id="1"/>
    </w:p>
    <w:p w:rsidR="002D2026" w:rsidRDefault="002D2026" w:rsidP="002D2026"/>
    <w:tbl>
      <w:tblPr>
        <w:tblStyle w:val="TableGrid"/>
        <w:tblW w:w="0" w:type="auto"/>
        <w:tblLook w:val="04A0" w:firstRow="1" w:lastRow="0" w:firstColumn="1" w:lastColumn="0" w:noHBand="0" w:noVBand="1"/>
      </w:tblPr>
      <w:tblGrid>
        <w:gridCol w:w="4788"/>
        <w:gridCol w:w="4788"/>
      </w:tblGrid>
      <w:tr w:rsidR="002D2026" w:rsidTr="00382243">
        <w:tc>
          <w:tcPr>
            <w:tcW w:w="4788" w:type="dxa"/>
          </w:tcPr>
          <w:p w:rsidR="002D2026" w:rsidRPr="009C5D48" w:rsidRDefault="002D2026" w:rsidP="00382243">
            <w:r>
              <w:t>AAB</w:t>
            </w:r>
          </w:p>
        </w:tc>
        <w:tc>
          <w:tcPr>
            <w:tcW w:w="4788" w:type="dxa"/>
          </w:tcPr>
          <w:p w:rsidR="002D2026" w:rsidRPr="009C5D48" w:rsidRDefault="002D2026" w:rsidP="00382243">
            <w:r>
              <w:t>Accessibility Advisory Board (MB)</w:t>
            </w:r>
          </w:p>
        </w:tc>
      </w:tr>
      <w:tr w:rsidR="002D2026" w:rsidTr="00382243">
        <w:tc>
          <w:tcPr>
            <w:tcW w:w="4788" w:type="dxa"/>
          </w:tcPr>
          <w:p w:rsidR="002D2026" w:rsidRDefault="002D2026" w:rsidP="00382243">
            <w:pPr>
              <w:rPr>
                <w:i/>
              </w:rPr>
            </w:pPr>
            <w:r>
              <w:t>AAC</w:t>
            </w:r>
          </w:p>
        </w:tc>
        <w:tc>
          <w:tcPr>
            <w:tcW w:w="4788" w:type="dxa"/>
          </w:tcPr>
          <w:p w:rsidR="002D2026" w:rsidRPr="00C12DF7" w:rsidRDefault="002D2026" w:rsidP="00382243">
            <w:r w:rsidRPr="00D34B56">
              <w:t>Accessibility Advisory Council</w:t>
            </w:r>
            <w:r>
              <w:t xml:space="preserve"> (MB)</w:t>
            </w:r>
          </w:p>
        </w:tc>
      </w:tr>
      <w:tr w:rsidR="002D2026" w:rsidRPr="004C3ACD" w:rsidTr="00382243">
        <w:tc>
          <w:tcPr>
            <w:tcW w:w="4788" w:type="dxa"/>
          </w:tcPr>
          <w:p w:rsidR="002D2026" w:rsidRPr="004C3ACD" w:rsidRDefault="002D2026" w:rsidP="00382243">
            <w:r>
              <w:rPr>
                <w:i/>
              </w:rPr>
              <w:t>ADA</w:t>
            </w:r>
          </w:p>
        </w:tc>
        <w:tc>
          <w:tcPr>
            <w:tcW w:w="4788" w:type="dxa"/>
          </w:tcPr>
          <w:p w:rsidR="002D2026" w:rsidRPr="00870079" w:rsidRDefault="002D2026" w:rsidP="00382243">
            <w:r w:rsidRPr="00870079">
              <w:rPr>
                <w:i/>
              </w:rPr>
              <w:t>Americans with Disabilities Act of 1990</w:t>
            </w:r>
            <w:r w:rsidRPr="00870079">
              <w:t xml:space="preserve"> (as amended by </w:t>
            </w:r>
            <w:r w:rsidRPr="00870079">
              <w:rPr>
                <w:i/>
              </w:rPr>
              <w:t xml:space="preserve">ADA Amendments Act </w:t>
            </w:r>
            <w:r w:rsidRPr="00870079">
              <w:t>of 2008)</w:t>
            </w:r>
          </w:p>
        </w:tc>
      </w:tr>
      <w:tr w:rsidR="002D2026" w:rsidRPr="00144D72" w:rsidTr="00382243">
        <w:tc>
          <w:tcPr>
            <w:tcW w:w="4788" w:type="dxa"/>
          </w:tcPr>
          <w:p w:rsidR="002D2026" w:rsidRPr="00144D72" w:rsidRDefault="002D2026" w:rsidP="00382243">
            <w:r>
              <w:t>ADO</w:t>
            </w:r>
          </w:p>
        </w:tc>
        <w:tc>
          <w:tcPr>
            <w:tcW w:w="4788" w:type="dxa"/>
          </w:tcPr>
          <w:p w:rsidR="002D2026" w:rsidRPr="00144D72" w:rsidRDefault="002D2026" w:rsidP="00382243">
            <w:r w:rsidRPr="004C3ACD">
              <w:t>Accessibility Directorate of Ontario</w:t>
            </w:r>
          </w:p>
        </w:tc>
      </w:tr>
      <w:tr w:rsidR="002D2026" w:rsidRPr="00C933B1" w:rsidTr="00382243">
        <w:tc>
          <w:tcPr>
            <w:tcW w:w="4788" w:type="dxa"/>
          </w:tcPr>
          <w:p w:rsidR="002D2026" w:rsidRPr="009C5D48" w:rsidRDefault="002D2026" w:rsidP="00382243">
            <w:r w:rsidRPr="009C5D48">
              <w:t>AHRC</w:t>
            </w:r>
          </w:p>
        </w:tc>
        <w:tc>
          <w:tcPr>
            <w:tcW w:w="4788" w:type="dxa"/>
          </w:tcPr>
          <w:p w:rsidR="002D2026" w:rsidRPr="00C933B1" w:rsidRDefault="002D2026" w:rsidP="00382243">
            <w:r>
              <w:t>Australian Human Rights Commission</w:t>
            </w:r>
          </w:p>
        </w:tc>
      </w:tr>
      <w:tr w:rsidR="002D2026" w:rsidRPr="004C3ACD" w:rsidTr="00382243">
        <w:tc>
          <w:tcPr>
            <w:tcW w:w="4788" w:type="dxa"/>
          </w:tcPr>
          <w:p w:rsidR="002D2026" w:rsidRPr="009C5D48" w:rsidRDefault="002D2026" w:rsidP="00382243">
            <w:pPr>
              <w:rPr>
                <w:i/>
              </w:rPr>
            </w:pPr>
            <w:r w:rsidRPr="009C5D48">
              <w:rPr>
                <w:i/>
              </w:rPr>
              <w:t>AHRCA</w:t>
            </w:r>
          </w:p>
        </w:tc>
        <w:tc>
          <w:tcPr>
            <w:tcW w:w="4788" w:type="dxa"/>
          </w:tcPr>
          <w:p w:rsidR="002D2026" w:rsidRPr="004C3ACD" w:rsidRDefault="002D2026" w:rsidP="00382243">
            <w:pPr>
              <w:rPr>
                <w:i/>
                <w:lang w:val="en-AU"/>
              </w:rPr>
            </w:pPr>
            <w:r w:rsidRPr="004C3ACD">
              <w:rPr>
                <w:i/>
                <w:lang w:val="en-AU"/>
              </w:rPr>
              <w:t>Australian Human Rights Commission Act, 1986</w:t>
            </w:r>
            <w:r>
              <w:rPr>
                <w:i/>
                <w:lang w:val="en-AU"/>
              </w:rPr>
              <w:t xml:space="preserve"> </w:t>
            </w:r>
            <w:r w:rsidRPr="00BF5896">
              <w:t>(Cth)</w:t>
            </w:r>
          </w:p>
        </w:tc>
      </w:tr>
      <w:tr w:rsidR="002D2026" w:rsidRPr="009F34BF" w:rsidTr="00382243">
        <w:tc>
          <w:tcPr>
            <w:tcW w:w="4788" w:type="dxa"/>
          </w:tcPr>
          <w:p w:rsidR="002D2026" w:rsidRPr="00FF4338" w:rsidRDefault="002D2026" w:rsidP="00382243">
            <w:pPr>
              <w:rPr>
                <w:i/>
              </w:rPr>
            </w:pPr>
            <w:r w:rsidRPr="00FF4338">
              <w:rPr>
                <w:i/>
              </w:rPr>
              <w:t>AMA</w:t>
            </w:r>
          </w:p>
        </w:tc>
        <w:tc>
          <w:tcPr>
            <w:tcW w:w="4788" w:type="dxa"/>
          </w:tcPr>
          <w:p w:rsidR="002D2026" w:rsidRPr="004F48E9" w:rsidRDefault="002D2026" w:rsidP="00382243">
            <w:r w:rsidRPr="009F34BF">
              <w:rPr>
                <w:i/>
              </w:rPr>
              <w:t>Accessibility for Manitobans Act</w:t>
            </w:r>
          </w:p>
        </w:tc>
      </w:tr>
      <w:tr w:rsidR="002D2026" w:rsidTr="00382243">
        <w:tc>
          <w:tcPr>
            <w:tcW w:w="4788" w:type="dxa"/>
          </w:tcPr>
          <w:p w:rsidR="002D2026" w:rsidRPr="00FD4CB8" w:rsidRDefault="002D2026" w:rsidP="00382243">
            <w:pPr>
              <w:rPr>
                <w:i/>
              </w:rPr>
            </w:pPr>
            <w:r w:rsidRPr="00FD4CB8">
              <w:rPr>
                <w:i/>
              </w:rPr>
              <w:t>AODA</w:t>
            </w:r>
          </w:p>
        </w:tc>
        <w:tc>
          <w:tcPr>
            <w:tcW w:w="4788" w:type="dxa"/>
          </w:tcPr>
          <w:p w:rsidR="002D2026" w:rsidRPr="00223709" w:rsidRDefault="002D2026" w:rsidP="00382243">
            <w:r w:rsidRPr="00223709">
              <w:rPr>
                <w:i/>
                <w:iCs/>
              </w:rPr>
              <w:t xml:space="preserve">Accessibility for </w:t>
            </w:r>
            <w:r>
              <w:rPr>
                <w:i/>
                <w:iCs/>
              </w:rPr>
              <w:t>Ontarians with Disabilities Act</w:t>
            </w:r>
            <w:r w:rsidRPr="00223709">
              <w:rPr>
                <w:iCs/>
              </w:rPr>
              <w:t xml:space="preserve"> </w:t>
            </w:r>
            <w:r w:rsidRPr="00223709">
              <w:rPr>
                <w:i/>
                <w:iCs/>
              </w:rPr>
              <w:t xml:space="preserve"> </w:t>
            </w:r>
          </w:p>
        </w:tc>
      </w:tr>
      <w:tr w:rsidR="002D2026" w:rsidTr="00382243">
        <w:tc>
          <w:tcPr>
            <w:tcW w:w="4788" w:type="dxa"/>
          </w:tcPr>
          <w:p w:rsidR="002D2026" w:rsidRPr="009F34BF" w:rsidRDefault="002D2026" w:rsidP="00382243">
            <w:r>
              <w:t>ASAC</w:t>
            </w:r>
          </w:p>
        </w:tc>
        <w:tc>
          <w:tcPr>
            <w:tcW w:w="4788" w:type="dxa"/>
          </w:tcPr>
          <w:p w:rsidR="002D2026" w:rsidRPr="009F34BF" w:rsidRDefault="002D2026" w:rsidP="00382243">
            <w:r>
              <w:t>Accessibility Standards Advisory Council (ON)</w:t>
            </w:r>
          </w:p>
        </w:tc>
      </w:tr>
      <w:tr w:rsidR="00333F31" w:rsidTr="00382243">
        <w:tc>
          <w:tcPr>
            <w:tcW w:w="4788" w:type="dxa"/>
          </w:tcPr>
          <w:p w:rsidR="00333F31" w:rsidRDefault="00333F31" w:rsidP="00382243">
            <w:r w:rsidRPr="00842D1C">
              <w:t>CHRC</w:t>
            </w:r>
          </w:p>
        </w:tc>
        <w:tc>
          <w:tcPr>
            <w:tcW w:w="4788" w:type="dxa"/>
          </w:tcPr>
          <w:p w:rsidR="00333F31" w:rsidRDefault="00333F31" w:rsidP="00382243">
            <w:r>
              <w:t>Canadian Human Rights Commission</w:t>
            </w:r>
          </w:p>
        </w:tc>
      </w:tr>
      <w:tr w:rsidR="002D2026" w:rsidTr="00382243">
        <w:tc>
          <w:tcPr>
            <w:tcW w:w="4788" w:type="dxa"/>
          </w:tcPr>
          <w:p w:rsidR="002D2026" w:rsidRPr="002A53D6" w:rsidRDefault="002D2026" w:rsidP="00382243">
            <w:r w:rsidRPr="002A53D6">
              <w:t>CRPD</w:t>
            </w:r>
          </w:p>
        </w:tc>
        <w:tc>
          <w:tcPr>
            <w:tcW w:w="4788" w:type="dxa"/>
          </w:tcPr>
          <w:p w:rsidR="002D2026" w:rsidRPr="002A53D6" w:rsidRDefault="002D2026" w:rsidP="00382243">
            <w:r>
              <w:t>Convention on the Rights of Persons with Disabilities (UN)</w:t>
            </w:r>
          </w:p>
        </w:tc>
      </w:tr>
      <w:tr w:rsidR="002D2026" w:rsidRPr="004C3ACD" w:rsidTr="00382243">
        <w:tc>
          <w:tcPr>
            <w:tcW w:w="4788" w:type="dxa"/>
          </w:tcPr>
          <w:p w:rsidR="002D2026" w:rsidRPr="001C6A66" w:rsidRDefault="002D2026" w:rsidP="00382243">
            <w:pPr>
              <w:rPr>
                <w:i/>
              </w:rPr>
            </w:pPr>
            <w:r w:rsidRPr="001C6A66">
              <w:rPr>
                <w:i/>
              </w:rPr>
              <w:t>DDA</w:t>
            </w:r>
          </w:p>
        </w:tc>
        <w:tc>
          <w:tcPr>
            <w:tcW w:w="4788" w:type="dxa"/>
          </w:tcPr>
          <w:p w:rsidR="002D2026" w:rsidRPr="004C3ACD" w:rsidRDefault="002D2026" w:rsidP="00382243">
            <w:pPr>
              <w:rPr>
                <w:i/>
              </w:rPr>
            </w:pPr>
            <w:r w:rsidRPr="004C3ACD">
              <w:rPr>
                <w:i/>
              </w:rPr>
              <w:t>Disability Discrimination Act, 1992</w:t>
            </w:r>
            <w:r w:rsidRPr="004C3ACD">
              <w:t xml:space="preserve"> </w:t>
            </w:r>
            <w:r w:rsidRPr="00BF5896">
              <w:t>(Cth)</w:t>
            </w:r>
            <w:r w:rsidRPr="00995960">
              <w:t xml:space="preserve"> </w:t>
            </w:r>
            <w:r w:rsidRPr="004C3ACD">
              <w:t>(Australia)</w:t>
            </w:r>
          </w:p>
        </w:tc>
      </w:tr>
      <w:tr w:rsidR="002D2026" w:rsidRPr="004C3ACD" w:rsidTr="00382243">
        <w:tc>
          <w:tcPr>
            <w:tcW w:w="4788" w:type="dxa"/>
          </w:tcPr>
          <w:p w:rsidR="002D2026" w:rsidRPr="004C3ACD" w:rsidRDefault="002D2026" w:rsidP="00382243">
            <w:r w:rsidRPr="009D1BC8">
              <w:rPr>
                <w:i/>
              </w:rPr>
              <w:t>DDA, 1995</w:t>
            </w:r>
          </w:p>
        </w:tc>
        <w:tc>
          <w:tcPr>
            <w:tcW w:w="4788" w:type="dxa"/>
          </w:tcPr>
          <w:p w:rsidR="002D2026" w:rsidRPr="001C6A66" w:rsidRDefault="002D2026" w:rsidP="00382243">
            <w:pPr>
              <w:rPr>
                <w:lang w:val="en-AU"/>
              </w:rPr>
            </w:pPr>
            <w:r w:rsidRPr="001C6A66">
              <w:rPr>
                <w:i/>
              </w:rPr>
              <w:t>Disability Discrimination Act, 1995</w:t>
            </w:r>
            <w:r>
              <w:t xml:space="preserve"> (UK)</w:t>
            </w:r>
          </w:p>
        </w:tc>
      </w:tr>
      <w:tr w:rsidR="002D2026" w:rsidTr="00382243">
        <w:tc>
          <w:tcPr>
            <w:tcW w:w="4788" w:type="dxa"/>
          </w:tcPr>
          <w:p w:rsidR="002D2026" w:rsidRDefault="002D2026" w:rsidP="00382243">
            <w:pPr>
              <w:rPr>
                <w:b/>
              </w:rPr>
            </w:pPr>
            <w:r w:rsidRPr="009D1BC8">
              <w:rPr>
                <w:i/>
              </w:rPr>
              <w:t>DDA, 2005</w:t>
            </w:r>
          </w:p>
        </w:tc>
        <w:tc>
          <w:tcPr>
            <w:tcW w:w="4788" w:type="dxa"/>
          </w:tcPr>
          <w:p w:rsidR="002D2026" w:rsidRPr="001C6A66" w:rsidRDefault="002D2026" w:rsidP="00382243">
            <w:pPr>
              <w:rPr>
                <w:lang w:val="en-AU"/>
              </w:rPr>
            </w:pPr>
            <w:r w:rsidRPr="001C6A66">
              <w:rPr>
                <w:i/>
              </w:rPr>
              <w:t>Disability Discrimination Act</w:t>
            </w:r>
            <w:r>
              <w:rPr>
                <w:i/>
              </w:rPr>
              <w:t>, 200</w:t>
            </w:r>
            <w:r w:rsidRPr="001C6A66">
              <w:rPr>
                <w:i/>
              </w:rPr>
              <w:t>5</w:t>
            </w:r>
            <w:r>
              <w:rPr>
                <w:i/>
              </w:rPr>
              <w:t xml:space="preserve"> </w:t>
            </w:r>
            <w:r>
              <w:t>(UK)</w:t>
            </w:r>
          </w:p>
        </w:tc>
      </w:tr>
      <w:tr w:rsidR="002D2026" w:rsidTr="00382243">
        <w:tc>
          <w:tcPr>
            <w:tcW w:w="4788" w:type="dxa"/>
          </w:tcPr>
          <w:p w:rsidR="002D2026" w:rsidRPr="0061747E" w:rsidRDefault="002D2026" w:rsidP="00382243">
            <w:r>
              <w:t>DIO</w:t>
            </w:r>
          </w:p>
        </w:tc>
        <w:tc>
          <w:tcPr>
            <w:tcW w:w="4788" w:type="dxa"/>
          </w:tcPr>
          <w:p w:rsidR="002D2026" w:rsidRPr="0061747E" w:rsidRDefault="002D2026" w:rsidP="00382243">
            <w:r>
              <w:t>Disability Issues Office (MB)</w:t>
            </w:r>
          </w:p>
        </w:tc>
      </w:tr>
      <w:tr w:rsidR="002D2026" w:rsidTr="00382243">
        <w:tc>
          <w:tcPr>
            <w:tcW w:w="4788" w:type="dxa"/>
          </w:tcPr>
          <w:p w:rsidR="002D2026" w:rsidRDefault="002D2026" w:rsidP="00382243">
            <w:pPr>
              <w:rPr>
                <w:b/>
              </w:rPr>
            </w:pPr>
            <w:r>
              <w:t>DOJ</w:t>
            </w:r>
          </w:p>
        </w:tc>
        <w:tc>
          <w:tcPr>
            <w:tcW w:w="4788" w:type="dxa"/>
          </w:tcPr>
          <w:p w:rsidR="002D2026" w:rsidRDefault="002D2026" w:rsidP="00382243">
            <w:pPr>
              <w:rPr>
                <w:b/>
              </w:rPr>
            </w:pPr>
            <w:r>
              <w:t>Department of Justice (US)</w:t>
            </w:r>
          </w:p>
        </w:tc>
      </w:tr>
      <w:tr w:rsidR="002D2026" w:rsidTr="00382243">
        <w:tc>
          <w:tcPr>
            <w:tcW w:w="4788" w:type="dxa"/>
          </w:tcPr>
          <w:p w:rsidR="002D2026" w:rsidRDefault="002D2026" w:rsidP="00382243">
            <w:pPr>
              <w:rPr>
                <w:b/>
              </w:rPr>
            </w:pPr>
            <w:r>
              <w:t>DOT</w:t>
            </w:r>
          </w:p>
        </w:tc>
        <w:tc>
          <w:tcPr>
            <w:tcW w:w="4788" w:type="dxa"/>
          </w:tcPr>
          <w:p w:rsidR="002D2026" w:rsidRDefault="002D2026" w:rsidP="00382243">
            <w:pPr>
              <w:rPr>
                <w:b/>
              </w:rPr>
            </w:pPr>
            <w:r>
              <w:t>Department of Transportation (US)</w:t>
            </w:r>
          </w:p>
        </w:tc>
      </w:tr>
      <w:tr w:rsidR="00D038EA" w:rsidTr="00382243">
        <w:tc>
          <w:tcPr>
            <w:tcW w:w="4788" w:type="dxa"/>
          </w:tcPr>
          <w:p w:rsidR="00D038EA" w:rsidRPr="00D038EA" w:rsidRDefault="00D038EA" w:rsidP="00382243">
            <w:r>
              <w:rPr>
                <w:lang w:val="en-US"/>
              </w:rPr>
              <w:t>FAL</w:t>
            </w:r>
          </w:p>
        </w:tc>
        <w:tc>
          <w:tcPr>
            <w:tcW w:w="4788" w:type="dxa"/>
          </w:tcPr>
          <w:p w:rsidR="00D038EA" w:rsidRPr="00D038EA" w:rsidRDefault="00D038EA" w:rsidP="00382243">
            <w:r>
              <w:t>The proposed federal accessibility legislation</w:t>
            </w:r>
            <w:r w:rsidR="00E06745">
              <w:t xml:space="preserve"> (Canada)</w:t>
            </w:r>
          </w:p>
        </w:tc>
      </w:tr>
      <w:tr w:rsidR="002D2026" w:rsidTr="00382243">
        <w:tc>
          <w:tcPr>
            <w:tcW w:w="4788" w:type="dxa"/>
          </w:tcPr>
          <w:p w:rsidR="002D2026" w:rsidRDefault="002D2026" w:rsidP="00382243">
            <w:pPr>
              <w:rPr>
                <w:b/>
              </w:rPr>
            </w:pPr>
            <w:r>
              <w:rPr>
                <w:i/>
              </w:rPr>
              <w:t>IASR</w:t>
            </w:r>
          </w:p>
        </w:tc>
        <w:tc>
          <w:tcPr>
            <w:tcW w:w="4788" w:type="dxa"/>
          </w:tcPr>
          <w:p w:rsidR="002D2026" w:rsidRDefault="002D2026" w:rsidP="00382243">
            <w:pPr>
              <w:rPr>
                <w:b/>
              </w:rPr>
            </w:pPr>
            <w:r>
              <w:rPr>
                <w:i/>
              </w:rPr>
              <w:t>Integrated Accessibility Standards</w:t>
            </w:r>
            <w:r w:rsidR="00BE2107">
              <w:rPr>
                <w:i/>
              </w:rPr>
              <w:t xml:space="preserve"> Regulations</w:t>
            </w:r>
          </w:p>
        </w:tc>
      </w:tr>
      <w:tr w:rsidR="002D2026" w:rsidRPr="00C933B1" w:rsidTr="00382243">
        <w:tc>
          <w:tcPr>
            <w:tcW w:w="4788" w:type="dxa"/>
          </w:tcPr>
          <w:p w:rsidR="002D2026" w:rsidRPr="00C933B1" w:rsidRDefault="002D2026" w:rsidP="00382243">
            <w:r w:rsidRPr="00C933B1">
              <w:t>LAT</w:t>
            </w:r>
          </w:p>
        </w:tc>
        <w:tc>
          <w:tcPr>
            <w:tcW w:w="4788" w:type="dxa"/>
          </w:tcPr>
          <w:p w:rsidR="002D2026" w:rsidRPr="00C933B1" w:rsidRDefault="002D2026" w:rsidP="00382243">
            <w:r w:rsidRPr="00C933B1">
              <w:t>Licensing Appeal Tribunal</w:t>
            </w:r>
            <w:r>
              <w:t xml:space="preserve"> (ON)</w:t>
            </w:r>
          </w:p>
        </w:tc>
      </w:tr>
      <w:tr w:rsidR="002D2026" w:rsidTr="00382243">
        <w:tc>
          <w:tcPr>
            <w:tcW w:w="4788" w:type="dxa"/>
          </w:tcPr>
          <w:p w:rsidR="002D2026" w:rsidRPr="0061747E" w:rsidRDefault="002D2026" w:rsidP="00382243">
            <w:r>
              <w:t>LGIC</w:t>
            </w:r>
          </w:p>
        </w:tc>
        <w:tc>
          <w:tcPr>
            <w:tcW w:w="4788" w:type="dxa"/>
          </w:tcPr>
          <w:p w:rsidR="002D2026" w:rsidRDefault="002D2026" w:rsidP="00382243">
            <w:pPr>
              <w:rPr>
                <w:i/>
              </w:rPr>
            </w:pPr>
            <w:r>
              <w:t>Lieutenant Governor in Council</w:t>
            </w:r>
          </w:p>
        </w:tc>
      </w:tr>
      <w:tr w:rsidR="002D2026" w:rsidTr="00382243">
        <w:tc>
          <w:tcPr>
            <w:tcW w:w="4788" w:type="dxa"/>
          </w:tcPr>
          <w:p w:rsidR="002D2026" w:rsidRPr="0016479B" w:rsidRDefault="002D2026" w:rsidP="00382243">
            <w:r>
              <w:t>MHRC</w:t>
            </w:r>
          </w:p>
        </w:tc>
        <w:tc>
          <w:tcPr>
            <w:tcW w:w="4788" w:type="dxa"/>
          </w:tcPr>
          <w:p w:rsidR="002D2026" w:rsidRPr="0016479B" w:rsidRDefault="002D2026" w:rsidP="00382243">
            <w:r>
              <w:t>Manitoba Human Rights Commission</w:t>
            </w:r>
          </w:p>
        </w:tc>
      </w:tr>
      <w:tr w:rsidR="002D2026" w:rsidTr="00382243">
        <w:tc>
          <w:tcPr>
            <w:tcW w:w="4788" w:type="dxa"/>
          </w:tcPr>
          <w:p w:rsidR="002D2026" w:rsidRPr="00E82809" w:rsidRDefault="002D2026" w:rsidP="00382243">
            <w:pPr>
              <w:rPr>
                <w:i/>
              </w:rPr>
            </w:pPr>
            <w:r w:rsidRPr="00E82809">
              <w:rPr>
                <w:i/>
                <w:lang w:val="en-US"/>
              </w:rPr>
              <w:t>NSAA</w:t>
            </w:r>
          </w:p>
        </w:tc>
        <w:tc>
          <w:tcPr>
            <w:tcW w:w="4788" w:type="dxa"/>
          </w:tcPr>
          <w:p w:rsidR="002D2026" w:rsidRPr="009C5D48" w:rsidRDefault="002D2026" w:rsidP="00382243">
            <w:r w:rsidRPr="00E82809">
              <w:rPr>
                <w:i/>
              </w:rPr>
              <w:t>Accessibility Act</w:t>
            </w:r>
            <w:r>
              <w:rPr>
                <w:rFonts w:cstheme="minorHAnsi"/>
              </w:rPr>
              <w:t xml:space="preserve"> </w:t>
            </w:r>
            <w:r>
              <w:t>(NS)</w:t>
            </w:r>
          </w:p>
        </w:tc>
      </w:tr>
      <w:tr w:rsidR="002D2026" w:rsidTr="00382243">
        <w:tc>
          <w:tcPr>
            <w:tcW w:w="4788" w:type="dxa"/>
          </w:tcPr>
          <w:p w:rsidR="002D2026" w:rsidRPr="009C5D48" w:rsidRDefault="002D2026" w:rsidP="00382243">
            <w:r>
              <w:t>NSAD</w:t>
            </w:r>
          </w:p>
        </w:tc>
        <w:tc>
          <w:tcPr>
            <w:tcW w:w="4788" w:type="dxa"/>
          </w:tcPr>
          <w:p w:rsidR="002D2026" w:rsidRPr="009C5D48" w:rsidRDefault="002D2026" w:rsidP="00382243">
            <w:r>
              <w:t>Accessibility Directorate,  Nova Scotia</w:t>
            </w:r>
          </w:p>
        </w:tc>
      </w:tr>
      <w:tr w:rsidR="002D2026" w:rsidTr="00382243">
        <w:tc>
          <w:tcPr>
            <w:tcW w:w="4788" w:type="dxa"/>
          </w:tcPr>
          <w:p w:rsidR="002D2026" w:rsidRDefault="002D2026" w:rsidP="00382243">
            <w:pPr>
              <w:rPr>
                <w:b/>
              </w:rPr>
            </w:pPr>
            <w:r>
              <w:rPr>
                <w:i/>
              </w:rPr>
              <w:t>PSVAR</w:t>
            </w:r>
          </w:p>
        </w:tc>
        <w:tc>
          <w:tcPr>
            <w:tcW w:w="4788" w:type="dxa"/>
          </w:tcPr>
          <w:p w:rsidR="002D2026" w:rsidRDefault="002D2026" w:rsidP="00382243">
            <w:pPr>
              <w:rPr>
                <w:b/>
              </w:rPr>
            </w:pPr>
            <w:r>
              <w:rPr>
                <w:i/>
              </w:rPr>
              <w:t>Public Service Vehicles Accessibility Regulations 2000</w:t>
            </w:r>
          </w:p>
        </w:tc>
      </w:tr>
      <w:tr w:rsidR="002D2026" w:rsidRPr="00144D72" w:rsidTr="00382243">
        <w:tc>
          <w:tcPr>
            <w:tcW w:w="4788" w:type="dxa"/>
          </w:tcPr>
          <w:p w:rsidR="002D2026" w:rsidRDefault="002D2026" w:rsidP="00382243">
            <w:r>
              <w:t>PWD</w:t>
            </w:r>
          </w:p>
        </w:tc>
        <w:tc>
          <w:tcPr>
            <w:tcW w:w="4788" w:type="dxa"/>
          </w:tcPr>
          <w:p w:rsidR="002D2026" w:rsidRDefault="002D2026" w:rsidP="00382243">
            <w:r>
              <w:t>Person with disabilities</w:t>
            </w:r>
          </w:p>
        </w:tc>
      </w:tr>
      <w:tr w:rsidR="002D2026" w:rsidTr="00382243">
        <w:tc>
          <w:tcPr>
            <w:tcW w:w="4788" w:type="dxa"/>
          </w:tcPr>
          <w:p w:rsidR="002D2026" w:rsidRDefault="002D2026" w:rsidP="00382243">
            <w:pPr>
              <w:rPr>
                <w:b/>
              </w:rPr>
            </w:pPr>
            <w:r>
              <w:rPr>
                <w:i/>
              </w:rPr>
              <w:t>RVAR 2010</w:t>
            </w:r>
          </w:p>
        </w:tc>
        <w:tc>
          <w:tcPr>
            <w:tcW w:w="4788" w:type="dxa"/>
          </w:tcPr>
          <w:p w:rsidR="002D2026" w:rsidRDefault="002D2026" w:rsidP="00382243">
            <w:pPr>
              <w:rPr>
                <w:b/>
              </w:rPr>
            </w:pPr>
            <w:r>
              <w:rPr>
                <w:i/>
              </w:rPr>
              <w:t>Rail Vehicle Accessibility (Non-Interoperable Rail System) Regulations 2010</w:t>
            </w:r>
          </w:p>
        </w:tc>
      </w:tr>
      <w:tr w:rsidR="002D2026" w:rsidTr="00382243">
        <w:tc>
          <w:tcPr>
            <w:tcW w:w="4788" w:type="dxa"/>
          </w:tcPr>
          <w:p w:rsidR="002D2026" w:rsidRPr="00223709" w:rsidRDefault="002D2026" w:rsidP="00382243">
            <w:r>
              <w:t>SDC</w:t>
            </w:r>
          </w:p>
        </w:tc>
        <w:tc>
          <w:tcPr>
            <w:tcW w:w="4788" w:type="dxa"/>
          </w:tcPr>
          <w:p w:rsidR="002D2026" w:rsidRPr="009F34BF" w:rsidRDefault="002D2026" w:rsidP="00382243">
            <w:r>
              <w:t>Standard Development Committee</w:t>
            </w:r>
          </w:p>
        </w:tc>
      </w:tr>
    </w:tbl>
    <w:p w:rsidR="002D2026" w:rsidRPr="008F51AE" w:rsidRDefault="002D2026" w:rsidP="002D2026">
      <w:pPr>
        <w:rPr>
          <w:b/>
        </w:rPr>
      </w:pPr>
    </w:p>
    <w:p w:rsidR="00420E4D" w:rsidRDefault="00420E4D">
      <w:r>
        <w:br w:type="page"/>
      </w:r>
    </w:p>
    <w:p w:rsidR="002D2026" w:rsidRPr="002D2026" w:rsidRDefault="002D2026" w:rsidP="002D2026"/>
    <w:p w:rsidR="00420E4D" w:rsidRDefault="00420E4D" w:rsidP="00420E4D">
      <w:pPr>
        <w:pStyle w:val="Title"/>
      </w:pPr>
      <w:r>
        <w:t>Final Report</w:t>
      </w:r>
    </w:p>
    <w:p w:rsidR="00EF24AC" w:rsidRPr="00D07C98" w:rsidRDefault="00EF24AC" w:rsidP="003B60AB">
      <w:pPr>
        <w:pStyle w:val="Heading1"/>
        <w:numPr>
          <w:ilvl w:val="0"/>
          <w:numId w:val="15"/>
        </w:numPr>
      </w:pPr>
      <w:bookmarkStart w:id="2" w:name="_Toc505751492"/>
      <w:r w:rsidRPr="00D07C98">
        <w:t>Background</w:t>
      </w:r>
      <w:bookmarkEnd w:id="2"/>
    </w:p>
    <w:p w:rsidR="00420E4D" w:rsidRDefault="00420E4D" w:rsidP="00F46C4C">
      <w:pPr>
        <w:jc w:val="both"/>
      </w:pPr>
    </w:p>
    <w:p w:rsidR="00EF24AC" w:rsidRDefault="00EF24AC" w:rsidP="00F46C4C">
      <w:pPr>
        <w:jc w:val="both"/>
      </w:pPr>
      <w:r>
        <w:t xml:space="preserve">In the background document that outlines the nature and purpose of this study, </w:t>
      </w:r>
      <w:r w:rsidR="0099453E">
        <w:t>Employment and Social Development Canada (</w:t>
      </w:r>
      <w:r>
        <w:t>ESDC</w:t>
      </w:r>
      <w:r w:rsidR="0099453E">
        <w:t>)</w:t>
      </w:r>
      <w:r>
        <w:t xml:space="preserve"> identified the importance of looking at the interplay between human rights legislation and accessibility legislation in Canada and internationally, highlighting the need for clarification:</w:t>
      </w:r>
    </w:p>
    <w:p w:rsidR="00EF24AC" w:rsidRDefault="00EF24AC" w:rsidP="00EF24AC"/>
    <w:p w:rsidR="00EF24AC" w:rsidRDefault="00EF24AC" w:rsidP="00EF24AC">
      <w:pPr>
        <w:ind w:left="720" w:right="720"/>
        <w:jc w:val="both"/>
      </w:pPr>
      <w:r>
        <w:t xml:space="preserve">During the consultation process for this legislation that took place from June 2016 to February 2017, stakeholders identified the interaction between existing human rights laws and the planned federal accessibility legislation as a key issue for consideration. Jurisdictions that have implemented both human rights laws and accessibility laws, like Ontario and Manitoba, were highlighted as learning opportunities. Indeed, the interplay between the </w:t>
      </w:r>
      <w:r w:rsidRPr="00B41FBE">
        <w:rPr>
          <w:i/>
        </w:rPr>
        <w:t>Accessibility for Ontarians with Disabilities Act</w:t>
      </w:r>
      <w:r>
        <w:t xml:space="preserve"> (AODA) and the Ontario </w:t>
      </w:r>
      <w:r w:rsidRPr="00B41FBE">
        <w:rPr>
          <w:i/>
        </w:rPr>
        <w:t>Human Rights Code</w:t>
      </w:r>
      <w:r>
        <w:t xml:space="preserve"> was a key theme in the consultations for the second legislative review of the AODA, revealing both confusion about the practical differences between human rights and accessibility laws, and the need for more clarity about how these two laws interact.</w:t>
      </w:r>
      <w:r w:rsidR="002E734D">
        <w:rPr>
          <w:rStyle w:val="FootnoteReference"/>
        </w:rPr>
        <w:footnoteReference w:id="2"/>
      </w:r>
    </w:p>
    <w:p w:rsidR="002E734D" w:rsidRDefault="002E734D" w:rsidP="00EF24AC"/>
    <w:p w:rsidR="00EF24AC" w:rsidRDefault="00EF24AC" w:rsidP="00F46C4C">
      <w:pPr>
        <w:jc w:val="both"/>
      </w:pPr>
      <w:r>
        <w:t>This concern for clarity has raised two distinct issues, both of which have been examined in this study. The first is how human rights laws are understood and</w:t>
      </w:r>
      <w:r w:rsidR="00B41FBE">
        <w:t>,</w:t>
      </w:r>
      <w:r>
        <w:t xml:space="preserve"> in practice</w:t>
      </w:r>
      <w:r w:rsidR="00B41FBE">
        <w:t>,</w:t>
      </w:r>
      <w:r>
        <w:t xml:space="preserve"> put into operation to support accessibility legislation in Canada. The second looks at the interaction between human rights laws and accessibility legislation in other jurisdictions, calling into play a</w:t>
      </w:r>
      <w:r w:rsidR="009B1B21">
        <w:t>n</w:t>
      </w:r>
      <w:r>
        <w:t xml:space="preserve"> understanding </w:t>
      </w:r>
      <w:r w:rsidR="000A0805">
        <w:t xml:space="preserve">of </w:t>
      </w:r>
      <w:r>
        <w:t xml:space="preserve">what human rights laws are and how they may operate </w:t>
      </w:r>
      <w:r w:rsidR="009B1B21">
        <w:t xml:space="preserve">that </w:t>
      </w:r>
      <w:r w:rsidR="000A0805">
        <w:t>is sometimes different</w:t>
      </w:r>
      <w:r w:rsidR="009B1B21">
        <w:t xml:space="preserve"> than</w:t>
      </w:r>
      <w:r>
        <w:t xml:space="preserve"> the conceptions </w:t>
      </w:r>
      <w:r w:rsidR="000A0805">
        <w:t>under</w:t>
      </w:r>
      <w:r>
        <w:t xml:space="preserve"> Can</w:t>
      </w:r>
      <w:r w:rsidR="000A0805">
        <w:t>adian law</w:t>
      </w:r>
      <w:r>
        <w:t xml:space="preserve">. Both are questions that require not only analysis of the </w:t>
      </w:r>
      <w:r w:rsidR="00DC3F90">
        <w:t>statutes and other legislative instruments</w:t>
      </w:r>
      <w:r w:rsidR="00791734">
        <w:rPr>
          <w:rStyle w:val="FootnoteReference"/>
        </w:rPr>
        <w:footnoteReference w:id="3"/>
      </w:r>
      <w:r>
        <w:t xml:space="preserve"> </w:t>
      </w:r>
      <w:r w:rsidR="00DC3F90">
        <w:t>but an</w:t>
      </w:r>
      <w:r>
        <w:t xml:space="preserve"> on</w:t>
      </w:r>
      <w:r w:rsidR="00DC3F90">
        <w:t>-</w:t>
      </w:r>
      <w:r>
        <w:t>the</w:t>
      </w:r>
      <w:r w:rsidR="00DC3F90">
        <w:t>-</w:t>
      </w:r>
      <w:r>
        <w:t xml:space="preserve">ground appreciation of how governments and civil servants interpret, use and apply </w:t>
      </w:r>
      <w:r w:rsidR="00DC3F90">
        <w:t xml:space="preserve">the </w:t>
      </w:r>
      <w:r w:rsidR="00E7069B">
        <w:t xml:space="preserve">relevant </w:t>
      </w:r>
      <w:r>
        <w:t>concepts.</w:t>
      </w:r>
    </w:p>
    <w:p w:rsidR="00AD6EBC" w:rsidRDefault="00AD6EBC" w:rsidP="00AD6EBC">
      <w:pPr>
        <w:jc w:val="both"/>
        <w:rPr>
          <w:lang w:val="en-US"/>
        </w:rPr>
      </w:pPr>
      <w:r>
        <w:rPr>
          <w:lang w:val="en-US"/>
        </w:rPr>
        <w:t xml:space="preserve">Based on the approach taken in other Canadian jurisdictions (Ontario, Manitoba and Nova Scotia), the proposed federal accessibility legislation (FAL) will likely follow the pattern of putting in place a system to enable the creation and implementation of regulatory standards. As with the accessibility legislation enacted in the provinces, the authority to design and implement the standards will likely be designated to various entities (such as standard development committees, directors, inspectors, etc.).  </w:t>
      </w:r>
      <w:r w:rsidR="00C11E6E">
        <w:rPr>
          <w:lang w:val="en-US"/>
        </w:rPr>
        <w:t>However, the federal accessibility legislation will focus only on areas within federal legislative jurisdiction.</w:t>
      </w:r>
      <w:r w:rsidR="00C11E6E">
        <w:rPr>
          <w:rStyle w:val="FootnoteReference"/>
          <w:lang w:val="en-US"/>
        </w:rPr>
        <w:footnoteReference w:id="4"/>
      </w:r>
    </w:p>
    <w:p w:rsidR="00AD6EBC" w:rsidRPr="00AD6EBC" w:rsidRDefault="00AD6EBC" w:rsidP="00F46C4C">
      <w:pPr>
        <w:jc w:val="both"/>
        <w:rPr>
          <w:lang w:val="en-US"/>
        </w:rPr>
      </w:pPr>
    </w:p>
    <w:p w:rsidR="00623B9C" w:rsidRDefault="00623B9C" w:rsidP="003B60AB">
      <w:pPr>
        <w:pStyle w:val="Heading1"/>
        <w:numPr>
          <w:ilvl w:val="0"/>
          <w:numId w:val="15"/>
        </w:numPr>
      </w:pPr>
      <w:bookmarkStart w:id="3" w:name="_Toc505751493"/>
      <w:r>
        <w:t>The Issues</w:t>
      </w:r>
      <w:bookmarkEnd w:id="3"/>
    </w:p>
    <w:p w:rsidR="00623B9C" w:rsidRPr="00623B9C" w:rsidRDefault="00623B9C" w:rsidP="00623B9C">
      <w:r>
        <w:t>The following issues have been examined in this report:</w:t>
      </w:r>
    </w:p>
    <w:p w:rsidR="004A52B1" w:rsidRPr="004A52B1" w:rsidRDefault="004A52B1" w:rsidP="004A52B1">
      <w:pPr>
        <w:numPr>
          <w:ilvl w:val="0"/>
          <w:numId w:val="4"/>
        </w:numPr>
        <w:spacing w:after="0" w:line="360" w:lineRule="auto"/>
        <w:rPr>
          <w:rFonts w:cstheme="minorHAnsi"/>
          <w:i/>
          <w:lang w:val="en-US"/>
        </w:rPr>
      </w:pPr>
      <w:r w:rsidRPr="004A52B1">
        <w:rPr>
          <w:rFonts w:cstheme="minorHAnsi"/>
          <w:lang w:val="en-US"/>
        </w:rPr>
        <w:t>The interplay between accessibility / disability legi</w:t>
      </w:r>
      <w:r w:rsidR="00C3226F">
        <w:rPr>
          <w:rFonts w:cstheme="minorHAnsi"/>
          <w:lang w:val="en-US"/>
        </w:rPr>
        <w:t>slation and human rights / anti</w:t>
      </w:r>
      <w:r w:rsidRPr="004A52B1">
        <w:rPr>
          <w:rFonts w:cstheme="minorHAnsi"/>
          <w:lang w:val="en-US"/>
        </w:rPr>
        <w:t xml:space="preserve">discrimination laws with respect to authorities </w:t>
      </w:r>
      <w:r w:rsidR="009574AE">
        <w:rPr>
          <w:rFonts w:cstheme="minorHAnsi"/>
          <w:lang w:val="en-US"/>
        </w:rPr>
        <w:t>,</w:t>
      </w:r>
      <w:r w:rsidRPr="004A52B1">
        <w:rPr>
          <w:rFonts w:cstheme="minorHAnsi"/>
          <w:lang w:val="en-US"/>
        </w:rPr>
        <w:t xml:space="preserve"> roles and responsibilities, particularly related to:</w:t>
      </w:r>
    </w:p>
    <w:p w:rsidR="004A52B1" w:rsidRPr="004A52B1" w:rsidRDefault="004A52B1" w:rsidP="004A52B1">
      <w:pPr>
        <w:numPr>
          <w:ilvl w:val="1"/>
          <w:numId w:val="4"/>
        </w:numPr>
        <w:spacing w:after="0" w:line="360" w:lineRule="auto"/>
        <w:rPr>
          <w:rFonts w:cstheme="minorHAnsi"/>
          <w:i/>
          <w:lang w:val="en-US"/>
        </w:rPr>
      </w:pPr>
      <w:r w:rsidRPr="004A52B1">
        <w:rPr>
          <w:rFonts w:cstheme="minorHAnsi"/>
          <w:lang w:val="en-US"/>
        </w:rPr>
        <w:t>public education, awareness, and systemic culture change;</w:t>
      </w:r>
    </w:p>
    <w:p w:rsidR="004A52B1" w:rsidRPr="004A52B1" w:rsidRDefault="004A52B1" w:rsidP="004A52B1">
      <w:pPr>
        <w:numPr>
          <w:ilvl w:val="1"/>
          <w:numId w:val="4"/>
        </w:numPr>
        <w:spacing w:after="0" w:line="360" w:lineRule="auto"/>
        <w:rPr>
          <w:rFonts w:cstheme="minorHAnsi"/>
          <w:i/>
          <w:lang w:val="en-US"/>
        </w:rPr>
      </w:pPr>
      <w:r w:rsidRPr="004A52B1">
        <w:rPr>
          <w:rFonts w:cstheme="minorHAnsi"/>
          <w:lang w:val="en-US"/>
        </w:rPr>
        <w:t xml:space="preserve">complaint/dispute resolution processes; </w:t>
      </w:r>
    </w:p>
    <w:p w:rsidR="004A52B1" w:rsidRPr="004A52B1" w:rsidRDefault="004A52B1" w:rsidP="004A52B1">
      <w:pPr>
        <w:numPr>
          <w:ilvl w:val="1"/>
          <w:numId w:val="4"/>
        </w:numPr>
        <w:spacing w:after="0" w:line="360" w:lineRule="auto"/>
        <w:rPr>
          <w:rFonts w:cstheme="minorHAnsi"/>
          <w:i/>
          <w:lang w:val="en-US"/>
        </w:rPr>
      </w:pPr>
      <w:r w:rsidRPr="004A52B1">
        <w:rPr>
          <w:rFonts w:cstheme="minorHAnsi"/>
          <w:lang w:val="en-US"/>
        </w:rPr>
        <w:t>compliance and enforcement;</w:t>
      </w:r>
    </w:p>
    <w:p w:rsidR="004A52B1" w:rsidRPr="004A52B1" w:rsidRDefault="004A52B1" w:rsidP="004A52B1">
      <w:pPr>
        <w:numPr>
          <w:ilvl w:val="2"/>
          <w:numId w:val="4"/>
        </w:numPr>
        <w:spacing w:after="0" w:line="360" w:lineRule="auto"/>
        <w:rPr>
          <w:rFonts w:cstheme="minorHAnsi"/>
          <w:i/>
          <w:lang w:val="en-US"/>
        </w:rPr>
      </w:pPr>
      <w:r w:rsidRPr="004A52B1">
        <w:rPr>
          <w:rFonts w:cstheme="minorHAnsi"/>
          <w:lang w:val="en-US"/>
        </w:rPr>
        <w:t>of the law;</w:t>
      </w:r>
    </w:p>
    <w:p w:rsidR="004A52B1" w:rsidRPr="004A52B1" w:rsidRDefault="004A52B1" w:rsidP="004A52B1">
      <w:pPr>
        <w:numPr>
          <w:ilvl w:val="2"/>
          <w:numId w:val="4"/>
        </w:numPr>
        <w:spacing w:after="0" w:line="360" w:lineRule="auto"/>
        <w:rPr>
          <w:rFonts w:cstheme="minorHAnsi"/>
          <w:i/>
          <w:lang w:val="en-US"/>
        </w:rPr>
      </w:pPr>
      <w:r w:rsidRPr="004A52B1">
        <w:rPr>
          <w:rFonts w:cstheme="minorHAnsi"/>
          <w:lang w:val="en-US"/>
        </w:rPr>
        <w:t>of decisions made by an investigative and/or oversight authority;</w:t>
      </w:r>
    </w:p>
    <w:p w:rsidR="004A52B1" w:rsidRPr="004A52B1" w:rsidRDefault="00675D27" w:rsidP="004A52B1">
      <w:pPr>
        <w:numPr>
          <w:ilvl w:val="2"/>
          <w:numId w:val="4"/>
        </w:numPr>
        <w:spacing w:after="0" w:line="360" w:lineRule="auto"/>
        <w:rPr>
          <w:rFonts w:cstheme="minorHAnsi"/>
          <w:i/>
          <w:lang w:val="en-US"/>
        </w:rPr>
      </w:pPr>
      <w:r>
        <w:rPr>
          <w:rFonts w:cstheme="minorHAnsi"/>
          <w:lang w:val="en-US"/>
        </w:rPr>
        <w:t xml:space="preserve">[of] </w:t>
      </w:r>
      <w:r w:rsidR="004A52B1" w:rsidRPr="004A52B1">
        <w:rPr>
          <w:rFonts w:cstheme="minorHAnsi"/>
          <w:lang w:val="en-US"/>
        </w:rPr>
        <w:t>mechanisms to monitor actions and report on adherence to the law(s); and</w:t>
      </w:r>
    </w:p>
    <w:p w:rsidR="004A52B1" w:rsidRPr="004A52B1" w:rsidRDefault="004A52B1" w:rsidP="004A52B1">
      <w:pPr>
        <w:numPr>
          <w:ilvl w:val="1"/>
          <w:numId w:val="4"/>
        </w:numPr>
        <w:spacing w:after="0" w:line="360" w:lineRule="auto"/>
        <w:rPr>
          <w:rFonts w:cstheme="minorHAnsi"/>
          <w:i/>
          <w:lang w:val="en-US"/>
        </w:rPr>
      </w:pPr>
      <w:r w:rsidRPr="004A52B1">
        <w:rPr>
          <w:rFonts w:cstheme="minorHAnsi"/>
          <w:lang w:val="en-US"/>
        </w:rPr>
        <w:t xml:space="preserve">governance and government machinery, including potential overlap and rationale for the precedence of a specific law. </w:t>
      </w:r>
    </w:p>
    <w:p w:rsidR="00357652" w:rsidRDefault="00357652" w:rsidP="00357652">
      <w:pPr>
        <w:rPr>
          <w:lang w:val="en-US"/>
        </w:rPr>
      </w:pPr>
      <w:r>
        <w:rPr>
          <w:lang w:val="en-US"/>
        </w:rPr>
        <w:t xml:space="preserve">The </w:t>
      </w:r>
      <w:r w:rsidR="008C5582">
        <w:rPr>
          <w:lang w:val="en-US"/>
        </w:rPr>
        <w:t xml:space="preserve">following six </w:t>
      </w:r>
      <w:r>
        <w:rPr>
          <w:lang w:val="en-US"/>
        </w:rPr>
        <w:t xml:space="preserve">jurisdictions have been examined for this </w:t>
      </w:r>
      <w:r w:rsidR="00E176BC">
        <w:rPr>
          <w:lang w:val="en-US"/>
        </w:rPr>
        <w:t>report</w:t>
      </w:r>
      <w:r>
        <w:rPr>
          <w:lang w:val="en-US"/>
        </w:rPr>
        <w:t xml:space="preserve">:  </w:t>
      </w:r>
    </w:p>
    <w:p w:rsidR="00357652" w:rsidRDefault="00357652" w:rsidP="00357652">
      <w:pPr>
        <w:pStyle w:val="ListParagraph"/>
        <w:numPr>
          <w:ilvl w:val="0"/>
          <w:numId w:val="7"/>
        </w:numPr>
        <w:rPr>
          <w:lang w:val="en-US"/>
        </w:rPr>
      </w:pPr>
      <w:r>
        <w:rPr>
          <w:lang w:val="en-US"/>
        </w:rPr>
        <w:t>Australia</w:t>
      </w:r>
      <w:r w:rsidR="00E176BC">
        <w:rPr>
          <w:lang w:val="en-US"/>
        </w:rPr>
        <w:t>;</w:t>
      </w:r>
    </w:p>
    <w:p w:rsidR="009574AE" w:rsidRDefault="009574AE" w:rsidP="00357652">
      <w:pPr>
        <w:pStyle w:val="ListParagraph"/>
        <w:numPr>
          <w:ilvl w:val="0"/>
          <w:numId w:val="7"/>
        </w:numPr>
        <w:rPr>
          <w:lang w:val="en-US"/>
        </w:rPr>
      </w:pPr>
      <w:r>
        <w:rPr>
          <w:lang w:val="en-US"/>
        </w:rPr>
        <w:t>the United Kingdom;</w:t>
      </w:r>
    </w:p>
    <w:p w:rsidR="00357652" w:rsidRDefault="00357652" w:rsidP="00357652">
      <w:pPr>
        <w:pStyle w:val="ListParagraph"/>
        <w:numPr>
          <w:ilvl w:val="0"/>
          <w:numId w:val="7"/>
        </w:numPr>
        <w:rPr>
          <w:lang w:val="en-US"/>
        </w:rPr>
      </w:pPr>
      <w:r>
        <w:rPr>
          <w:lang w:val="en-US"/>
        </w:rPr>
        <w:t>the United States</w:t>
      </w:r>
      <w:r w:rsidR="00E176BC">
        <w:rPr>
          <w:lang w:val="en-US"/>
        </w:rPr>
        <w:t>;</w:t>
      </w:r>
    </w:p>
    <w:p w:rsidR="00357652" w:rsidRDefault="00357652" w:rsidP="00357652">
      <w:pPr>
        <w:pStyle w:val="ListParagraph"/>
        <w:numPr>
          <w:ilvl w:val="0"/>
          <w:numId w:val="7"/>
        </w:numPr>
        <w:rPr>
          <w:lang w:val="en-US"/>
        </w:rPr>
      </w:pPr>
      <w:r>
        <w:rPr>
          <w:lang w:val="en-US"/>
        </w:rPr>
        <w:t>the provinces of:</w:t>
      </w:r>
    </w:p>
    <w:p w:rsidR="00357652" w:rsidRDefault="00357652" w:rsidP="00357652">
      <w:pPr>
        <w:pStyle w:val="ListParagraph"/>
        <w:numPr>
          <w:ilvl w:val="1"/>
          <w:numId w:val="7"/>
        </w:numPr>
        <w:rPr>
          <w:lang w:val="en-US"/>
        </w:rPr>
      </w:pPr>
      <w:r>
        <w:rPr>
          <w:lang w:val="en-US"/>
        </w:rPr>
        <w:t>Ontario</w:t>
      </w:r>
      <w:r w:rsidR="00E176BC">
        <w:rPr>
          <w:lang w:val="en-US"/>
        </w:rPr>
        <w:t>;</w:t>
      </w:r>
    </w:p>
    <w:p w:rsidR="00357652" w:rsidRDefault="00357652" w:rsidP="00357652">
      <w:pPr>
        <w:pStyle w:val="ListParagraph"/>
        <w:numPr>
          <w:ilvl w:val="1"/>
          <w:numId w:val="7"/>
        </w:numPr>
        <w:rPr>
          <w:lang w:val="en-US"/>
        </w:rPr>
      </w:pPr>
      <w:r>
        <w:rPr>
          <w:lang w:val="en-US"/>
        </w:rPr>
        <w:t>Manitoba</w:t>
      </w:r>
      <w:r w:rsidR="00E176BC">
        <w:rPr>
          <w:lang w:val="en-US"/>
        </w:rPr>
        <w:t>;</w:t>
      </w:r>
      <w:r>
        <w:rPr>
          <w:lang w:val="en-US"/>
        </w:rPr>
        <w:t xml:space="preserve"> and </w:t>
      </w:r>
    </w:p>
    <w:p w:rsidR="00357652" w:rsidRDefault="00357652" w:rsidP="00357652">
      <w:pPr>
        <w:pStyle w:val="ListParagraph"/>
        <w:numPr>
          <w:ilvl w:val="1"/>
          <w:numId w:val="7"/>
        </w:numPr>
        <w:rPr>
          <w:lang w:val="en-US"/>
        </w:rPr>
      </w:pPr>
      <w:r>
        <w:rPr>
          <w:lang w:val="en-US"/>
        </w:rPr>
        <w:t>Nova Scotia</w:t>
      </w:r>
      <w:r w:rsidR="00E176BC">
        <w:rPr>
          <w:lang w:val="en-US"/>
        </w:rPr>
        <w:t>.</w:t>
      </w:r>
    </w:p>
    <w:p w:rsidR="009D7380" w:rsidRDefault="00DC3F90" w:rsidP="008628A0">
      <w:pPr>
        <w:jc w:val="both"/>
        <w:rPr>
          <w:lang w:val="en-US"/>
        </w:rPr>
      </w:pPr>
      <w:r>
        <w:rPr>
          <w:lang w:val="en-US"/>
        </w:rPr>
        <w:t>The attached tables</w:t>
      </w:r>
      <w:r w:rsidR="00E176BC">
        <w:rPr>
          <w:lang w:val="en-US"/>
        </w:rPr>
        <w:t xml:space="preserve"> in Appendix B</w:t>
      </w:r>
      <w:r>
        <w:rPr>
          <w:lang w:val="en-US"/>
        </w:rPr>
        <w:t xml:space="preserve"> provide detailed information on the interplay between accessibility/disability legislation and human rights/antidiscrimination laws with respect to the functions specified above. </w:t>
      </w:r>
      <w:r w:rsidR="009E04BF">
        <w:rPr>
          <w:lang w:val="en-US"/>
        </w:rPr>
        <w:t>T</w:t>
      </w:r>
      <w:r w:rsidR="00177B8E">
        <w:rPr>
          <w:lang w:val="en-US"/>
        </w:rPr>
        <w:t>he first table for</w:t>
      </w:r>
      <w:r w:rsidR="009E04BF">
        <w:rPr>
          <w:lang w:val="en-US"/>
        </w:rPr>
        <w:t xml:space="preserve"> each </w:t>
      </w:r>
      <w:r>
        <w:rPr>
          <w:lang w:val="en-US"/>
        </w:rPr>
        <w:t>country sets out the functions examined, the body that exercises</w:t>
      </w:r>
      <w:r w:rsidR="009574AE">
        <w:rPr>
          <w:lang w:val="en-US"/>
        </w:rPr>
        <w:t xml:space="preserve"> or the bodies that exercise each</w:t>
      </w:r>
      <w:r>
        <w:rPr>
          <w:lang w:val="en-US"/>
        </w:rPr>
        <w:t xml:space="preserve"> function and how </w:t>
      </w:r>
      <w:r w:rsidR="009574AE">
        <w:rPr>
          <w:lang w:val="en-US"/>
        </w:rPr>
        <w:t>each</w:t>
      </w:r>
      <w:r>
        <w:rPr>
          <w:lang w:val="en-US"/>
        </w:rPr>
        <w:t xml:space="preserve"> function is executed. The</w:t>
      </w:r>
      <w:r w:rsidR="00177B8E">
        <w:rPr>
          <w:lang w:val="en-US"/>
        </w:rPr>
        <w:t xml:space="preserve"> second </w:t>
      </w:r>
      <w:r>
        <w:rPr>
          <w:lang w:val="en-US"/>
        </w:rPr>
        <w:t>looks m</w:t>
      </w:r>
      <w:r w:rsidR="002452A2">
        <w:rPr>
          <w:lang w:val="en-US"/>
        </w:rPr>
        <w:t>ore closely at how human rights/</w:t>
      </w:r>
      <w:r w:rsidR="00177B8E">
        <w:rPr>
          <w:lang w:val="en-US"/>
        </w:rPr>
        <w:t>antidiscrimination laws are i</w:t>
      </w:r>
      <w:r>
        <w:rPr>
          <w:lang w:val="en-US"/>
        </w:rPr>
        <w:t>ncorporated in the execution of those functions</w:t>
      </w:r>
      <w:r w:rsidR="00AB22B3">
        <w:rPr>
          <w:lang w:val="en-US"/>
        </w:rPr>
        <w:t>,</w:t>
      </w:r>
      <w:r w:rsidR="009E04BF">
        <w:rPr>
          <w:lang w:val="en-US"/>
        </w:rPr>
        <w:t xml:space="preserve"> considering</w:t>
      </w:r>
      <w:r w:rsidR="009574AE">
        <w:rPr>
          <w:lang w:val="en-US"/>
        </w:rPr>
        <w:t xml:space="preserve"> statutory language, </w:t>
      </w:r>
      <w:r w:rsidR="009E04BF">
        <w:rPr>
          <w:lang w:val="en-US"/>
        </w:rPr>
        <w:t>case law and interviews with current or previous government officials from the jurisdiction</w:t>
      </w:r>
      <w:r>
        <w:rPr>
          <w:lang w:val="en-US"/>
        </w:rPr>
        <w:t xml:space="preserve">. </w:t>
      </w:r>
      <w:r w:rsidR="00177B8E">
        <w:rPr>
          <w:lang w:val="en-US"/>
        </w:rPr>
        <w:t xml:space="preserve"> In these tables, </w:t>
      </w:r>
      <w:r w:rsidR="00AB22B3">
        <w:rPr>
          <w:lang w:val="en-US"/>
        </w:rPr>
        <w:t xml:space="preserve">any </w:t>
      </w:r>
      <w:r w:rsidR="00177B8E">
        <w:rPr>
          <w:lang w:val="en-US"/>
        </w:rPr>
        <w:t>distinctions made between</w:t>
      </w:r>
      <w:r w:rsidR="00AB22B3">
        <w:rPr>
          <w:lang w:val="en-US"/>
        </w:rPr>
        <w:t xml:space="preserve"> </w:t>
      </w:r>
      <w:r w:rsidR="002452A2">
        <w:rPr>
          <w:lang w:val="en-US"/>
        </w:rPr>
        <w:t>“</w:t>
      </w:r>
      <w:r w:rsidR="00177B8E">
        <w:rPr>
          <w:lang w:val="en-US"/>
        </w:rPr>
        <w:t>human rights laws</w:t>
      </w:r>
      <w:r w:rsidR="00AB22B3">
        <w:rPr>
          <w:lang w:val="en-US"/>
        </w:rPr>
        <w:t>”</w:t>
      </w:r>
      <w:r w:rsidR="00177B8E">
        <w:rPr>
          <w:lang w:val="en-US"/>
        </w:rPr>
        <w:t xml:space="preserve"> and </w:t>
      </w:r>
      <w:r w:rsidR="00AB22B3">
        <w:rPr>
          <w:lang w:val="en-US"/>
        </w:rPr>
        <w:t>“</w:t>
      </w:r>
      <w:r w:rsidR="00177B8E">
        <w:rPr>
          <w:lang w:val="en-US"/>
        </w:rPr>
        <w:t>antidiscrimination laws</w:t>
      </w:r>
      <w:r w:rsidR="00AB22B3">
        <w:rPr>
          <w:lang w:val="en-US"/>
        </w:rPr>
        <w:t>”</w:t>
      </w:r>
      <w:r w:rsidR="00177B8E">
        <w:rPr>
          <w:lang w:val="en-US"/>
        </w:rPr>
        <w:t xml:space="preserve"> </w:t>
      </w:r>
      <w:r w:rsidR="00AD6EBC">
        <w:rPr>
          <w:lang w:val="en-US"/>
        </w:rPr>
        <w:t xml:space="preserve">are identified </w:t>
      </w:r>
      <w:r w:rsidR="00177B8E">
        <w:rPr>
          <w:lang w:val="en-US"/>
        </w:rPr>
        <w:t xml:space="preserve">when such a </w:t>
      </w:r>
      <w:r w:rsidR="00AB22B3">
        <w:rPr>
          <w:lang w:val="en-US"/>
        </w:rPr>
        <w:t xml:space="preserve">legal </w:t>
      </w:r>
      <w:r w:rsidR="00177B8E">
        <w:rPr>
          <w:lang w:val="en-US"/>
        </w:rPr>
        <w:t>distinction is made in the jurisdiction.</w:t>
      </w:r>
      <w:r w:rsidR="00170E1A">
        <w:rPr>
          <w:rStyle w:val="FootnoteReference"/>
          <w:lang w:val="en-US"/>
        </w:rPr>
        <w:footnoteReference w:id="5"/>
      </w:r>
      <w:r w:rsidR="00177B8E">
        <w:rPr>
          <w:lang w:val="en-US"/>
        </w:rPr>
        <w:t xml:space="preserve"> </w:t>
      </w:r>
    </w:p>
    <w:p w:rsidR="00363AB0" w:rsidRDefault="004B6807" w:rsidP="003B60AB">
      <w:pPr>
        <w:pStyle w:val="Heading1"/>
        <w:numPr>
          <w:ilvl w:val="0"/>
          <w:numId w:val="15"/>
        </w:numPr>
        <w:rPr>
          <w:lang w:val="en-US"/>
        </w:rPr>
      </w:pPr>
      <w:bookmarkStart w:id="4" w:name="_Toc505751494"/>
      <w:r>
        <w:rPr>
          <w:lang w:val="en-US"/>
        </w:rPr>
        <w:t>Key F</w:t>
      </w:r>
      <w:r w:rsidR="00623B9C">
        <w:rPr>
          <w:lang w:val="en-US"/>
        </w:rPr>
        <w:t>indings</w:t>
      </w:r>
      <w:bookmarkEnd w:id="4"/>
    </w:p>
    <w:p w:rsidR="00623B9C" w:rsidRDefault="00E14E6B" w:rsidP="008628A0">
      <w:pPr>
        <w:jc w:val="both"/>
        <w:rPr>
          <w:lang w:val="en-US"/>
        </w:rPr>
      </w:pPr>
      <w:r>
        <w:rPr>
          <w:lang w:val="en-US"/>
        </w:rPr>
        <w:t xml:space="preserve">This research study </w:t>
      </w:r>
      <w:r w:rsidR="00985D64">
        <w:rPr>
          <w:lang w:val="en-US"/>
        </w:rPr>
        <w:t xml:space="preserve">is based on a review of </w:t>
      </w:r>
      <w:r w:rsidR="00B04BB8">
        <w:rPr>
          <w:lang w:val="en-US"/>
        </w:rPr>
        <w:t>relevant</w:t>
      </w:r>
      <w:r w:rsidR="00623B9C">
        <w:rPr>
          <w:lang w:val="en-US"/>
        </w:rPr>
        <w:t xml:space="preserve"> legislation</w:t>
      </w:r>
      <w:r w:rsidR="00A8551B">
        <w:rPr>
          <w:lang w:val="en-US"/>
        </w:rPr>
        <w:t xml:space="preserve"> and</w:t>
      </w:r>
      <w:r w:rsidR="00623B9C">
        <w:rPr>
          <w:lang w:val="en-US"/>
        </w:rPr>
        <w:t xml:space="preserve"> jurisprudence</w:t>
      </w:r>
      <w:r w:rsidR="009D7380">
        <w:rPr>
          <w:lang w:val="en-US"/>
        </w:rPr>
        <w:t xml:space="preserve">, </w:t>
      </w:r>
      <w:r w:rsidR="00B04BB8">
        <w:rPr>
          <w:lang w:val="en-US"/>
        </w:rPr>
        <w:t xml:space="preserve">pertinent </w:t>
      </w:r>
      <w:r w:rsidR="00A8551B">
        <w:rPr>
          <w:lang w:val="en-US"/>
        </w:rPr>
        <w:t>literature</w:t>
      </w:r>
      <w:r w:rsidR="009D7380">
        <w:rPr>
          <w:lang w:val="en-US"/>
        </w:rPr>
        <w:t xml:space="preserve"> </w:t>
      </w:r>
      <w:r w:rsidR="00170E1A">
        <w:rPr>
          <w:lang w:val="en-US"/>
        </w:rPr>
        <w:t xml:space="preserve">emanating </w:t>
      </w:r>
      <w:r w:rsidR="009D7380">
        <w:rPr>
          <w:lang w:val="en-US"/>
        </w:rPr>
        <w:t>from the disability community</w:t>
      </w:r>
      <w:r w:rsidR="00170E1A">
        <w:rPr>
          <w:lang w:val="en-US"/>
        </w:rPr>
        <w:t>,</w:t>
      </w:r>
      <w:r w:rsidR="00E2330F">
        <w:rPr>
          <w:lang w:val="en-US"/>
        </w:rPr>
        <w:t xml:space="preserve"> scholars</w:t>
      </w:r>
      <w:r w:rsidR="009D7380">
        <w:rPr>
          <w:lang w:val="en-US"/>
        </w:rPr>
        <w:t>,</w:t>
      </w:r>
      <w:r w:rsidR="00170E1A">
        <w:rPr>
          <w:lang w:val="en-US"/>
        </w:rPr>
        <w:t xml:space="preserve"> and Statistics Canada</w:t>
      </w:r>
      <w:r w:rsidR="003572D7">
        <w:rPr>
          <w:lang w:val="en-US"/>
        </w:rPr>
        <w:t xml:space="preserve"> among other sources</w:t>
      </w:r>
      <w:r w:rsidR="00170E1A">
        <w:rPr>
          <w:lang w:val="en-US"/>
        </w:rPr>
        <w:t>,</w:t>
      </w:r>
      <w:r w:rsidR="009D7380">
        <w:rPr>
          <w:lang w:val="en-US"/>
        </w:rPr>
        <w:t xml:space="preserve"> </w:t>
      </w:r>
      <w:r w:rsidR="00623B9C">
        <w:rPr>
          <w:lang w:val="en-US"/>
        </w:rPr>
        <w:t xml:space="preserve">and </w:t>
      </w:r>
      <w:r w:rsidR="00336802">
        <w:rPr>
          <w:lang w:val="en-US"/>
        </w:rPr>
        <w:t>interview</w:t>
      </w:r>
      <w:r w:rsidR="00985D64">
        <w:rPr>
          <w:lang w:val="en-US"/>
        </w:rPr>
        <w:t>s conducted with</w:t>
      </w:r>
      <w:r w:rsidR="00336802">
        <w:rPr>
          <w:lang w:val="en-US"/>
        </w:rPr>
        <w:t xml:space="preserve"> past and present</w:t>
      </w:r>
      <w:r w:rsidR="00B97487" w:rsidRPr="00B97487">
        <w:rPr>
          <w:lang w:val="en-US"/>
        </w:rPr>
        <w:t xml:space="preserve"> </w:t>
      </w:r>
      <w:r w:rsidR="00B97487">
        <w:rPr>
          <w:lang w:val="en-US"/>
        </w:rPr>
        <w:t>key</w:t>
      </w:r>
      <w:r w:rsidR="00336802">
        <w:rPr>
          <w:lang w:val="en-US"/>
        </w:rPr>
        <w:t xml:space="preserve"> government officials</w:t>
      </w:r>
      <w:r w:rsidR="009D7380">
        <w:rPr>
          <w:lang w:val="en-US"/>
        </w:rPr>
        <w:t xml:space="preserve"> in the </w:t>
      </w:r>
      <w:r w:rsidR="009574AE">
        <w:rPr>
          <w:lang w:val="en-US"/>
        </w:rPr>
        <w:t xml:space="preserve">jurisdictions </w:t>
      </w:r>
      <w:r w:rsidR="009D7380">
        <w:rPr>
          <w:lang w:val="en-US"/>
        </w:rPr>
        <w:t xml:space="preserve">examined </w:t>
      </w:r>
      <w:r w:rsidR="00E2330F">
        <w:rPr>
          <w:lang w:val="en-US"/>
        </w:rPr>
        <w:t xml:space="preserve">to </w:t>
      </w:r>
      <w:r w:rsidR="009D7380">
        <w:rPr>
          <w:lang w:val="en-US"/>
        </w:rPr>
        <w:t>obtain a better understanding of how the law has been/is being applied</w:t>
      </w:r>
      <w:r w:rsidR="0014264F">
        <w:rPr>
          <w:lang w:val="en-US"/>
        </w:rPr>
        <w:t xml:space="preserve">.  </w:t>
      </w:r>
      <w:r w:rsidR="008C0600">
        <w:rPr>
          <w:lang w:val="en-US"/>
        </w:rPr>
        <w:t>Further</w:t>
      </w:r>
      <w:r w:rsidR="0014264F">
        <w:rPr>
          <w:lang w:val="en-US"/>
        </w:rPr>
        <w:t xml:space="preserve"> to this data collection and analysis</w:t>
      </w:r>
      <w:r w:rsidR="00336802">
        <w:rPr>
          <w:lang w:val="en-US"/>
        </w:rPr>
        <w:t xml:space="preserve">, the following key findings </w:t>
      </w:r>
      <w:r>
        <w:rPr>
          <w:lang w:val="en-US"/>
        </w:rPr>
        <w:t xml:space="preserve">have been made </w:t>
      </w:r>
      <w:r w:rsidR="00336802">
        <w:rPr>
          <w:lang w:val="en-US"/>
        </w:rPr>
        <w:t>with respect to each of the issues listed above. The</w:t>
      </w:r>
      <w:r w:rsidR="00A8551B">
        <w:rPr>
          <w:lang w:val="en-US"/>
        </w:rPr>
        <w:t xml:space="preserve"> findings </w:t>
      </w:r>
      <w:r w:rsidR="00336802">
        <w:rPr>
          <w:lang w:val="en-US"/>
        </w:rPr>
        <w:t xml:space="preserve">are presented in </w:t>
      </w:r>
      <w:r w:rsidR="00A8551B">
        <w:rPr>
          <w:lang w:val="en-US"/>
        </w:rPr>
        <w:t>an order that</w:t>
      </w:r>
      <w:r w:rsidR="0014264F">
        <w:rPr>
          <w:lang w:val="en-US"/>
        </w:rPr>
        <w:t xml:space="preserve"> traces </w:t>
      </w:r>
      <w:r w:rsidR="00336802">
        <w:rPr>
          <w:lang w:val="en-US"/>
        </w:rPr>
        <w:t>the issues</w:t>
      </w:r>
      <w:r w:rsidR="00A8551B">
        <w:rPr>
          <w:lang w:val="en-US"/>
        </w:rPr>
        <w:t xml:space="preserve"> (including additional subtopics) </w:t>
      </w:r>
      <w:r w:rsidR="00336802">
        <w:rPr>
          <w:lang w:val="en-US"/>
        </w:rPr>
        <w:t xml:space="preserve">that emerged as </w:t>
      </w:r>
      <w:r w:rsidR="00170E1A">
        <w:rPr>
          <w:lang w:val="en-US"/>
        </w:rPr>
        <w:t xml:space="preserve">the </w:t>
      </w:r>
      <w:r w:rsidR="00336802">
        <w:rPr>
          <w:lang w:val="en-US"/>
        </w:rPr>
        <w:t xml:space="preserve">most pressing </w:t>
      </w:r>
      <w:r w:rsidR="00A83834">
        <w:rPr>
          <w:lang w:val="en-US"/>
        </w:rPr>
        <w:t>during</w:t>
      </w:r>
      <w:r w:rsidR="00336802">
        <w:rPr>
          <w:lang w:val="en-US"/>
        </w:rPr>
        <w:t xml:space="preserve"> </w:t>
      </w:r>
      <w:r w:rsidR="00352830">
        <w:rPr>
          <w:lang w:val="en-US"/>
        </w:rPr>
        <w:t>the</w:t>
      </w:r>
      <w:r w:rsidR="00336802">
        <w:rPr>
          <w:lang w:val="en-US"/>
        </w:rPr>
        <w:t xml:space="preserve"> review.</w:t>
      </w:r>
    </w:p>
    <w:p w:rsidR="00A83834" w:rsidRDefault="00A83834" w:rsidP="00623B9C">
      <w:pPr>
        <w:rPr>
          <w:lang w:val="en-US"/>
        </w:rPr>
      </w:pPr>
    </w:p>
    <w:p w:rsidR="00D53A33" w:rsidRPr="00D53A33" w:rsidRDefault="00086CEE" w:rsidP="00086CEE">
      <w:pPr>
        <w:pStyle w:val="Heading2"/>
        <w:numPr>
          <w:ilvl w:val="0"/>
          <w:numId w:val="18"/>
        </w:numPr>
      </w:pPr>
      <w:bookmarkStart w:id="5" w:name="_Toc505751495"/>
      <w:r>
        <w:rPr>
          <w:lang w:val="en-US"/>
        </w:rPr>
        <w:t>Theoretical F</w:t>
      </w:r>
      <w:r w:rsidR="00D53A33">
        <w:rPr>
          <w:lang w:val="en-US"/>
        </w:rPr>
        <w:t xml:space="preserve">ramework – </w:t>
      </w:r>
      <w:r w:rsidR="00D53A33" w:rsidRPr="00D53A33">
        <w:t xml:space="preserve">An Inclusive </w:t>
      </w:r>
      <w:r w:rsidR="008628A0">
        <w:t>Equality</w:t>
      </w:r>
      <w:r w:rsidR="00D53A33" w:rsidRPr="00D53A33">
        <w:t xml:space="preserve"> </w:t>
      </w:r>
      <w:r w:rsidR="00B04BB8">
        <w:t>Approach</w:t>
      </w:r>
      <w:bookmarkEnd w:id="5"/>
    </w:p>
    <w:p w:rsidR="00336802" w:rsidRDefault="00336802" w:rsidP="00D53A33">
      <w:pPr>
        <w:rPr>
          <w:lang w:val="en-US"/>
        </w:rPr>
      </w:pPr>
    </w:p>
    <w:p w:rsidR="00F0613A" w:rsidRDefault="0014264F" w:rsidP="008628A0">
      <w:pPr>
        <w:jc w:val="both"/>
        <w:rPr>
          <w:lang w:val="en-US"/>
        </w:rPr>
      </w:pPr>
      <w:r>
        <w:rPr>
          <w:lang w:val="en-US"/>
        </w:rPr>
        <w:t xml:space="preserve">It is useful to </w:t>
      </w:r>
      <w:r w:rsidR="008C0600">
        <w:rPr>
          <w:lang w:val="en-US"/>
        </w:rPr>
        <w:t>have</w:t>
      </w:r>
      <w:r>
        <w:rPr>
          <w:lang w:val="en-US"/>
        </w:rPr>
        <w:t xml:space="preserve"> a theoretical framework </w:t>
      </w:r>
      <w:r w:rsidR="00170E1A">
        <w:rPr>
          <w:lang w:val="en-US"/>
        </w:rPr>
        <w:t>that can</w:t>
      </w:r>
      <w:r>
        <w:rPr>
          <w:lang w:val="en-US"/>
        </w:rPr>
        <w:t xml:space="preserve"> assist in understanding and prioritizing the issues </w:t>
      </w:r>
      <w:r w:rsidR="008C0600">
        <w:rPr>
          <w:lang w:val="en-US"/>
        </w:rPr>
        <w:t>of</w:t>
      </w:r>
      <w:r>
        <w:rPr>
          <w:lang w:val="en-US"/>
        </w:rPr>
        <w:t xml:space="preserve"> substantive equality for </w:t>
      </w:r>
      <w:r w:rsidR="008C0600">
        <w:rPr>
          <w:lang w:val="en-US"/>
        </w:rPr>
        <w:t>people</w:t>
      </w:r>
      <w:r>
        <w:rPr>
          <w:lang w:val="en-US"/>
        </w:rPr>
        <w:t xml:space="preserve"> with disabilities that</w:t>
      </w:r>
      <w:r w:rsidR="008C0600">
        <w:rPr>
          <w:lang w:val="en-US"/>
        </w:rPr>
        <w:t xml:space="preserve"> need to be addressed in developing </w:t>
      </w:r>
      <w:r>
        <w:rPr>
          <w:lang w:val="en-US"/>
        </w:rPr>
        <w:t>the</w:t>
      </w:r>
      <w:r w:rsidR="005172EC">
        <w:rPr>
          <w:lang w:val="en-US"/>
        </w:rPr>
        <w:t xml:space="preserve"> proposed</w:t>
      </w:r>
      <w:r>
        <w:rPr>
          <w:lang w:val="en-US"/>
        </w:rPr>
        <w:t xml:space="preserve"> </w:t>
      </w:r>
      <w:r w:rsidR="003B660F">
        <w:rPr>
          <w:lang w:val="en-US"/>
        </w:rPr>
        <w:t>federal accessibility legislation</w:t>
      </w:r>
      <w:r w:rsidR="005172EC">
        <w:rPr>
          <w:lang w:val="en-US"/>
        </w:rPr>
        <w:t xml:space="preserve"> (FAL)</w:t>
      </w:r>
      <w:r>
        <w:rPr>
          <w:lang w:val="en-US"/>
        </w:rPr>
        <w:t xml:space="preserve">. As a piece of proactive legislation, </w:t>
      </w:r>
      <w:r w:rsidR="003B660F">
        <w:rPr>
          <w:lang w:val="en-US"/>
        </w:rPr>
        <w:t>FAL</w:t>
      </w:r>
      <w:r>
        <w:rPr>
          <w:lang w:val="en-US"/>
        </w:rPr>
        <w:t xml:space="preserve"> has the </w:t>
      </w:r>
      <w:r w:rsidR="008C0600">
        <w:rPr>
          <w:lang w:val="en-US"/>
        </w:rPr>
        <w:t xml:space="preserve">hefty </w:t>
      </w:r>
      <w:r>
        <w:rPr>
          <w:lang w:val="en-US"/>
        </w:rPr>
        <w:t xml:space="preserve">objective of </w:t>
      </w:r>
      <w:r w:rsidR="00131C10">
        <w:rPr>
          <w:lang w:val="en-US"/>
        </w:rPr>
        <w:t xml:space="preserve">addressing barriers to accessibility </w:t>
      </w:r>
      <w:r w:rsidR="005172EC">
        <w:rPr>
          <w:lang w:val="en-US"/>
        </w:rPr>
        <w:t xml:space="preserve">in the federal sphere </w:t>
      </w:r>
      <w:r w:rsidR="00131C10">
        <w:rPr>
          <w:lang w:val="en-US"/>
        </w:rPr>
        <w:t>and to ensure that they are dismantled, preferably before they pose a problem to people within the disability community.</w:t>
      </w:r>
      <w:r w:rsidR="00E14E6B">
        <w:rPr>
          <w:lang w:val="en-US"/>
        </w:rPr>
        <w:t xml:space="preserve"> </w:t>
      </w:r>
      <w:r w:rsidR="00F0613A" w:rsidRPr="008D158B">
        <w:rPr>
          <w:lang w:val="en-US"/>
        </w:rPr>
        <w:t xml:space="preserve">Through </w:t>
      </w:r>
      <w:r w:rsidR="002279BC">
        <w:rPr>
          <w:lang w:val="en-US"/>
        </w:rPr>
        <w:t>the</w:t>
      </w:r>
      <w:r w:rsidR="00F0613A" w:rsidRPr="008D158B">
        <w:rPr>
          <w:lang w:val="en-US"/>
        </w:rPr>
        <w:t xml:space="preserve"> very nature of creating standards to dismantle barriers, accessibility legislation </w:t>
      </w:r>
      <w:r w:rsidR="00F0613A">
        <w:rPr>
          <w:lang w:val="en-US"/>
        </w:rPr>
        <w:t xml:space="preserve">generally </w:t>
      </w:r>
      <w:r w:rsidR="00F0613A" w:rsidRPr="008D158B">
        <w:rPr>
          <w:lang w:val="en-US"/>
        </w:rPr>
        <w:t>concern</w:t>
      </w:r>
      <w:r w:rsidR="00F0613A">
        <w:rPr>
          <w:lang w:val="en-US"/>
        </w:rPr>
        <w:t>s</w:t>
      </w:r>
      <w:r w:rsidR="00F0613A" w:rsidRPr="008D158B">
        <w:rPr>
          <w:lang w:val="en-US"/>
        </w:rPr>
        <w:t xml:space="preserve"> the structural </w:t>
      </w:r>
      <w:r w:rsidR="00F0613A">
        <w:rPr>
          <w:lang w:val="en-US"/>
        </w:rPr>
        <w:t xml:space="preserve">and systemic </w:t>
      </w:r>
      <w:r w:rsidR="00F0613A" w:rsidRPr="008D158B">
        <w:rPr>
          <w:lang w:val="en-US"/>
        </w:rPr>
        <w:t xml:space="preserve">inequalities faced by people with disabilities. </w:t>
      </w:r>
      <w:r w:rsidR="00F0613A" w:rsidRPr="00DF5A31">
        <w:rPr>
          <w:lang w:val="en-US"/>
        </w:rPr>
        <w:t>While a proactive regulatory system</w:t>
      </w:r>
      <w:r w:rsidR="00F755E2">
        <w:rPr>
          <w:lang w:val="en-US"/>
        </w:rPr>
        <w:t xml:space="preserve"> such as that of the proposed federal accessibility legislation</w:t>
      </w:r>
      <w:r w:rsidR="00F0613A" w:rsidRPr="00DF5A31">
        <w:rPr>
          <w:lang w:val="en-US"/>
        </w:rPr>
        <w:t xml:space="preserve"> has the potential to realize the equality rights</w:t>
      </w:r>
      <w:r w:rsidR="00F0613A">
        <w:rPr>
          <w:lang w:val="en-US"/>
        </w:rPr>
        <w:t xml:space="preserve"> of </w:t>
      </w:r>
      <w:r w:rsidR="00F0613A" w:rsidRPr="00DF5A31">
        <w:rPr>
          <w:lang w:val="en-US"/>
        </w:rPr>
        <w:t xml:space="preserve">people with disabilities by creating standards to break down barriers, it can only be successful if designed within a framework that is attentive to the social </w:t>
      </w:r>
      <w:r w:rsidR="00F0613A">
        <w:rPr>
          <w:lang w:val="en-US"/>
        </w:rPr>
        <w:t xml:space="preserve">reality in which people with disabilities live, as well as to the social </w:t>
      </w:r>
      <w:r w:rsidR="00F0613A" w:rsidRPr="00DF5A31">
        <w:rPr>
          <w:lang w:val="en-US"/>
        </w:rPr>
        <w:t>context in which disability equality claims arise</w:t>
      </w:r>
      <w:r w:rsidR="00F0613A">
        <w:rPr>
          <w:lang w:val="en-US"/>
        </w:rPr>
        <w:t>.</w:t>
      </w:r>
    </w:p>
    <w:p w:rsidR="00EF358C" w:rsidRDefault="008C0600" w:rsidP="008628A0">
      <w:pPr>
        <w:jc w:val="both"/>
        <w:rPr>
          <w:lang w:val="en-US"/>
        </w:rPr>
      </w:pPr>
      <w:r>
        <w:rPr>
          <w:lang w:val="en-US"/>
        </w:rPr>
        <w:t xml:space="preserve">An appropriate theoretical framework </w:t>
      </w:r>
      <w:r w:rsidR="00824B20">
        <w:rPr>
          <w:lang w:val="en-US"/>
        </w:rPr>
        <w:t xml:space="preserve">for this endeavour </w:t>
      </w:r>
      <w:r>
        <w:rPr>
          <w:lang w:val="en-US"/>
        </w:rPr>
        <w:t xml:space="preserve">is the inclusive </w:t>
      </w:r>
      <w:r w:rsidR="008628A0">
        <w:rPr>
          <w:lang w:val="en-US"/>
        </w:rPr>
        <w:t>equality</w:t>
      </w:r>
      <w:r>
        <w:rPr>
          <w:lang w:val="en-US"/>
        </w:rPr>
        <w:t xml:space="preserve"> approach proposed by the United Nations Committee on the Rights of Persons with Disabilities.</w:t>
      </w:r>
      <w:r w:rsidR="00E14E6B">
        <w:rPr>
          <w:lang w:val="en-US"/>
        </w:rPr>
        <w:t xml:space="preserve"> </w:t>
      </w:r>
      <w:r>
        <w:rPr>
          <w:lang w:val="en-US"/>
        </w:rPr>
        <w:t xml:space="preserve">The </w:t>
      </w:r>
      <w:r w:rsidR="008628A0">
        <w:rPr>
          <w:lang w:val="en-US"/>
        </w:rPr>
        <w:t xml:space="preserve">inclusive equality </w:t>
      </w:r>
      <w:r>
        <w:rPr>
          <w:lang w:val="en-US"/>
        </w:rPr>
        <w:t>approach</w:t>
      </w:r>
      <w:r w:rsidR="00386AFE">
        <w:rPr>
          <w:lang w:val="en-US"/>
        </w:rPr>
        <w:t xml:space="preserve"> </w:t>
      </w:r>
      <w:r w:rsidR="00824B20">
        <w:rPr>
          <w:lang w:val="en-US"/>
        </w:rPr>
        <w:t>was recently laid out by the UN Committee on the Rights of Persons with Disabilities in its General Comment on Article 5 (‘Equality and Nondiscrimination’) of the CRPD in August, 2017.</w:t>
      </w:r>
      <w:r w:rsidR="003E6328" w:rsidRPr="003E6328">
        <w:rPr>
          <w:lang w:val="en-US"/>
        </w:rPr>
        <w:t xml:space="preserve"> </w:t>
      </w:r>
      <w:r w:rsidR="003E6328">
        <w:rPr>
          <w:lang w:val="en-US"/>
        </w:rPr>
        <w:t xml:space="preserve">The </w:t>
      </w:r>
      <w:r w:rsidR="008628A0">
        <w:rPr>
          <w:lang w:val="en-US"/>
        </w:rPr>
        <w:t xml:space="preserve">inclusive equality </w:t>
      </w:r>
      <w:r w:rsidR="003E6328">
        <w:rPr>
          <w:lang w:val="en-US"/>
        </w:rPr>
        <w:t>approach emphasizes the</w:t>
      </w:r>
      <w:r w:rsidR="00815E39">
        <w:rPr>
          <w:lang w:val="en-US"/>
        </w:rPr>
        <w:t xml:space="preserve"> following</w:t>
      </w:r>
      <w:r w:rsidR="003E6328">
        <w:rPr>
          <w:lang w:val="en-US"/>
        </w:rPr>
        <w:t xml:space="preserve"> goals:  </w:t>
      </w:r>
    </w:p>
    <w:p w:rsidR="00815E39" w:rsidRPr="00815E39" w:rsidRDefault="008628A0" w:rsidP="00BE7B74">
      <w:pPr>
        <w:pStyle w:val="ListParagraph"/>
        <w:numPr>
          <w:ilvl w:val="0"/>
          <w:numId w:val="21"/>
        </w:numPr>
        <w:jc w:val="both"/>
        <w:rPr>
          <w:lang w:val="en-US"/>
        </w:rPr>
      </w:pPr>
      <w:r>
        <w:rPr>
          <w:lang w:val="en-US"/>
        </w:rPr>
        <w:t>A</w:t>
      </w:r>
      <w:r w:rsidR="003E6328" w:rsidRPr="00815E39">
        <w:rPr>
          <w:lang w:val="en-US"/>
        </w:rPr>
        <w:t xml:space="preserve"> recognition of multiple and intersectional discrimination</w:t>
      </w:r>
      <w:r w:rsidR="00EF358C" w:rsidRPr="00815E39">
        <w:rPr>
          <w:lang w:val="en-US"/>
        </w:rPr>
        <w:t xml:space="preserve"> which realizes that individuals experience discrimination as members of “</w:t>
      </w:r>
      <w:r w:rsidR="00EF5946" w:rsidRPr="00815E39">
        <w:rPr>
          <w:lang w:val="en-US"/>
        </w:rPr>
        <w:t>a</w:t>
      </w:r>
      <w:r w:rsidR="00EF358C" w:rsidRPr="00815E39">
        <w:rPr>
          <w:lang w:val="en-US"/>
        </w:rPr>
        <w:t xml:space="preserve"> (or several) social group(s) and that these groups are not homogenous. Nondiscrimination measures should recognize that all members of the disability</w:t>
      </w:r>
      <w:r w:rsidR="00EF5946" w:rsidRPr="00815E39">
        <w:rPr>
          <w:lang w:val="en-US"/>
        </w:rPr>
        <w:t xml:space="preserve"> community </w:t>
      </w:r>
      <w:r w:rsidR="00EF358C" w:rsidRPr="00815E39">
        <w:rPr>
          <w:lang w:val="en-US"/>
        </w:rPr>
        <w:t xml:space="preserve">are individuals with multiple layers of identity statuses </w:t>
      </w:r>
      <w:r w:rsidR="00815E39" w:rsidRPr="00815E39">
        <w:rPr>
          <w:lang w:val="en-US"/>
        </w:rPr>
        <w:t>and</w:t>
      </w:r>
      <w:r w:rsidR="00EF358C" w:rsidRPr="00815E39">
        <w:rPr>
          <w:lang w:val="en-US"/>
        </w:rPr>
        <w:t xml:space="preserve"> life circumstances</w:t>
      </w:r>
      <w:r w:rsidR="003F4415">
        <w:rPr>
          <w:lang w:val="en-US"/>
        </w:rPr>
        <w:t>”</w:t>
      </w:r>
      <w:r w:rsidR="00E24F83">
        <w:rPr>
          <w:lang w:val="en-US"/>
        </w:rPr>
        <w:t>.</w:t>
      </w:r>
      <w:r w:rsidR="00E24F83">
        <w:rPr>
          <w:rStyle w:val="FootnoteReference"/>
          <w:lang w:val="en-US"/>
        </w:rPr>
        <w:footnoteReference w:id="6"/>
      </w:r>
      <w:r w:rsidR="00E24F83">
        <w:rPr>
          <w:lang w:val="en-US"/>
        </w:rPr>
        <w:t xml:space="preserve"> This is in keeping with the fact that the CRPD is the first UN convention to explicitly address intersectionality;</w:t>
      </w:r>
      <w:r w:rsidR="00E24F83">
        <w:rPr>
          <w:rStyle w:val="FootnoteReference"/>
          <w:lang w:val="en-US"/>
        </w:rPr>
        <w:footnoteReference w:id="7"/>
      </w:r>
    </w:p>
    <w:p w:rsidR="008C0600" w:rsidRDefault="00815E39" w:rsidP="00BE7B74">
      <w:pPr>
        <w:pStyle w:val="ListParagraph"/>
        <w:numPr>
          <w:ilvl w:val="0"/>
          <w:numId w:val="21"/>
        </w:numPr>
        <w:jc w:val="both"/>
        <w:rPr>
          <w:lang w:val="en-US"/>
        </w:rPr>
      </w:pPr>
      <w:r>
        <w:rPr>
          <w:lang w:val="en-US"/>
        </w:rPr>
        <w:t xml:space="preserve">The need </w:t>
      </w:r>
      <w:r w:rsidR="00EF358C" w:rsidRPr="00815E39">
        <w:rPr>
          <w:lang w:val="en-US"/>
        </w:rPr>
        <w:t xml:space="preserve">to take into account individual, structural and intersectional </w:t>
      </w:r>
      <w:r>
        <w:rPr>
          <w:lang w:val="en-US"/>
        </w:rPr>
        <w:t xml:space="preserve">dimensions of </w:t>
      </w:r>
      <w:r w:rsidR="00EF358C" w:rsidRPr="00815E39">
        <w:rPr>
          <w:lang w:val="en-US"/>
        </w:rPr>
        <w:t xml:space="preserve">discrimination as well as </w:t>
      </w:r>
      <w:r w:rsidR="00EF358C" w:rsidRPr="003F4415">
        <w:rPr>
          <w:i/>
          <w:lang w:val="en-US"/>
        </w:rPr>
        <w:t>power relations</w:t>
      </w:r>
      <w:r w:rsidR="00EF358C" w:rsidRPr="00815E39">
        <w:rPr>
          <w:lang w:val="en-US"/>
        </w:rPr>
        <w:t>.</w:t>
      </w:r>
      <w:r w:rsidR="003E6328" w:rsidRPr="00815E39">
        <w:rPr>
          <w:lang w:val="en-US"/>
        </w:rPr>
        <w:t xml:space="preserve"> </w:t>
      </w:r>
      <w:r w:rsidR="00EF5946">
        <w:rPr>
          <w:rStyle w:val="FootnoteReference"/>
          <w:lang w:val="en-US"/>
        </w:rPr>
        <w:footnoteReference w:id="8"/>
      </w:r>
    </w:p>
    <w:p w:rsidR="00620278" w:rsidRPr="00620278" w:rsidRDefault="00062899" w:rsidP="00620278">
      <w:pPr>
        <w:pStyle w:val="ListParagraph"/>
        <w:numPr>
          <w:ilvl w:val="0"/>
          <w:numId w:val="21"/>
        </w:numPr>
        <w:rPr>
          <w:lang w:val="en-US"/>
        </w:rPr>
      </w:pPr>
      <w:r>
        <w:rPr>
          <w:lang w:val="en-US"/>
        </w:rPr>
        <w:t>A</w:t>
      </w:r>
      <w:r w:rsidR="00620278">
        <w:rPr>
          <w:lang w:val="en-US"/>
        </w:rPr>
        <w:t xml:space="preserve"> recognition that h</w:t>
      </w:r>
      <w:r w:rsidR="00620278" w:rsidRPr="00620278">
        <w:rPr>
          <w:lang w:val="en-US"/>
        </w:rPr>
        <w:t>uman rights are interdependent</w:t>
      </w:r>
      <w:r w:rsidR="00620278">
        <w:rPr>
          <w:lang w:val="en-US"/>
        </w:rPr>
        <w:t xml:space="preserve">, </w:t>
      </w:r>
      <w:r w:rsidR="00620278" w:rsidRPr="00620278">
        <w:rPr>
          <w:lang w:val="en-US"/>
        </w:rPr>
        <w:t>interrelated and inseparable.</w:t>
      </w:r>
      <w:r w:rsidR="007762DF">
        <w:rPr>
          <w:rStyle w:val="FootnoteReference"/>
          <w:lang w:val="en-US"/>
        </w:rPr>
        <w:footnoteReference w:id="9"/>
      </w:r>
      <w:r w:rsidR="002279BC">
        <w:rPr>
          <w:lang w:val="en-US"/>
        </w:rPr>
        <w:t xml:space="preserve"> </w:t>
      </w:r>
    </w:p>
    <w:p w:rsidR="00E24F83" w:rsidRPr="00E24F83" w:rsidRDefault="00E24F83" w:rsidP="00E24F83">
      <w:pPr>
        <w:ind w:left="50"/>
        <w:jc w:val="both"/>
        <w:rPr>
          <w:lang w:val="en-US"/>
        </w:rPr>
      </w:pPr>
      <w:r w:rsidRPr="00E24F83">
        <w:rPr>
          <w:lang w:val="en-US"/>
        </w:rPr>
        <w:t>In addition, the Committee identified a need across the globe for greater inclusion of the disability community in the development of laws and policies that affect them as well as for more effective redress mechanisms for discrimination.</w:t>
      </w:r>
      <w:r>
        <w:rPr>
          <w:rStyle w:val="FootnoteReference"/>
          <w:lang w:val="en-US"/>
        </w:rPr>
        <w:footnoteReference w:id="10"/>
      </w:r>
    </w:p>
    <w:p w:rsidR="00620278" w:rsidRDefault="005417C3" w:rsidP="008628A0">
      <w:pPr>
        <w:ind w:left="50"/>
        <w:jc w:val="both"/>
        <w:rPr>
          <w:lang w:val="en-US"/>
        </w:rPr>
      </w:pPr>
      <w:r>
        <w:rPr>
          <w:lang w:val="en-US"/>
        </w:rPr>
        <w:t>In short, d</w:t>
      </w:r>
      <w:r w:rsidRPr="005417C3">
        <w:rPr>
          <w:lang w:val="en-US"/>
        </w:rPr>
        <w:t>isability may be only one of several layers of</w:t>
      </w:r>
      <w:r>
        <w:rPr>
          <w:lang w:val="en-US"/>
        </w:rPr>
        <w:t xml:space="preserve"> an individual’s </w:t>
      </w:r>
      <w:r w:rsidR="00620278">
        <w:rPr>
          <w:lang w:val="en-US"/>
        </w:rPr>
        <w:t>identity. Di</w:t>
      </w:r>
      <w:r w:rsidRPr="005417C3">
        <w:rPr>
          <w:lang w:val="en-US"/>
        </w:rPr>
        <w:t xml:space="preserve">sability law and policy </w:t>
      </w:r>
      <w:r w:rsidR="002A61FD">
        <w:rPr>
          <w:lang w:val="en-US"/>
        </w:rPr>
        <w:t>should</w:t>
      </w:r>
      <w:r w:rsidRPr="005417C3">
        <w:rPr>
          <w:lang w:val="en-US"/>
        </w:rPr>
        <w:t xml:space="preserve"> take the diversity of the person with disabilities into account</w:t>
      </w:r>
      <w:r w:rsidR="00620278">
        <w:rPr>
          <w:lang w:val="en-US"/>
        </w:rPr>
        <w:t xml:space="preserve">. </w:t>
      </w:r>
      <w:r w:rsidR="002A61FD">
        <w:rPr>
          <w:lang w:val="en-US"/>
        </w:rPr>
        <w:t>By drawing upon an inclusive equality approach, t</w:t>
      </w:r>
      <w:r w:rsidR="008628A0">
        <w:rPr>
          <w:lang w:val="en-US"/>
        </w:rPr>
        <w:t xml:space="preserve">here is a greater chance for equality law to </w:t>
      </w:r>
      <w:r w:rsidR="003F4415">
        <w:rPr>
          <w:lang w:val="en-US"/>
        </w:rPr>
        <w:t>foster</w:t>
      </w:r>
      <w:r w:rsidR="008628A0">
        <w:rPr>
          <w:lang w:val="en-US"/>
        </w:rPr>
        <w:t xml:space="preserve"> substantive and transformative</w:t>
      </w:r>
      <w:r w:rsidR="007249C7">
        <w:rPr>
          <w:lang w:val="en-US"/>
        </w:rPr>
        <w:t xml:space="preserve"> change</w:t>
      </w:r>
      <w:r w:rsidR="008628A0">
        <w:rPr>
          <w:lang w:val="en-US"/>
        </w:rPr>
        <w:t>.</w:t>
      </w:r>
      <w:r w:rsidRPr="005417C3">
        <w:rPr>
          <w:lang w:val="en-US"/>
        </w:rPr>
        <w:t xml:space="preserve"> </w:t>
      </w:r>
    </w:p>
    <w:p w:rsidR="00920A22" w:rsidRDefault="00367DE3" w:rsidP="00F203E4">
      <w:pPr>
        <w:jc w:val="both"/>
        <w:rPr>
          <w:lang w:val="en-US"/>
        </w:rPr>
      </w:pPr>
      <w:r>
        <w:rPr>
          <w:lang w:val="en-US"/>
        </w:rPr>
        <w:t xml:space="preserve">The </w:t>
      </w:r>
      <w:r w:rsidR="00D6180D">
        <w:t>socio-historical context</w:t>
      </w:r>
      <w:r>
        <w:rPr>
          <w:lang w:val="en-US"/>
        </w:rPr>
        <w:t xml:space="preserve"> from which accessibility legislation has arisen in Canada </w:t>
      </w:r>
      <w:r w:rsidR="00D6180D">
        <w:rPr>
          <w:lang w:val="en-US"/>
        </w:rPr>
        <w:t>is</w:t>
      </w:r>
      <w:r>
        <w:rPr>
          <w:lang w:val="en-US"/>
        </w:rPr>
        <w:t xml:space="preserve"> also important </w:t>
      </w:r>
      <w:r w:rsidR="00F203E4">
        <w:rPr>
          <w:lang w:val="en-US"/>
        </w:rPr>
        <w:t xml:space="preserve">to take into account. </w:t>
      </w:r>
      <w:r w:rsidR="00D6180D">
        <w:rPr>
          <w:lang w:val="en-US"/>
        </w:rPr>
        <w:t>It</w:t>
      </w:r>
      <w:r w:rsidR="00F203E4">
        <w:rPr>
          <w:lang w:val="en-US"/>
        </w:rPr>
        <w:t xml:space="preserve"> present</w:t>
      </w:r>
      <w:r w:rsidR="00D6180D">
        <w:rPr>
          <w:lang w:val="en-US"/>
        </w:rPr>
        <w:t>s</w:t>
      </w:r>
      <w:r w:rsidR="00F203E4">
        <w:rPr>
          <w:lang w:val="en-US"/>
        </w:rPr>
        <w:t xml:space="preserve"> foundational structural and systemic </w:t>
      </w:r>
      <w:r w:rsidR="00977461">
        <w:rPr>
          <w:lang w:val="en-US"/>
        </w:rPr>
        <w:t>element</w:t>
      </w:r>
      <w:r w:rsidR="00F203E4">
        <w:rPr>
          <w:lang w:val="en-US"/>
        </w:rPr>
        <w:t>s that should be</w:t>
      </w:r>
      <w:r>
        <w:rPr>
          <w:lang w:val="en-US"/>
        </w:rPr>
        <w:t xml:space="preserve"> </w:t>
      </w:r>
      <w:r w:rsidR="00F203E4">
        <w:rPr>
          <w:lang w:val="en-US"/>
        </w:rPr>
        <w:t xml:space="preserve">acknowledged in </w:t>
      </w:r>
      <w:r w:rsidR="002A61FD">
        <w:rPr>
          <w:lang w:val="en-US"/>
        </w:rPr>
        <w:t>an inclusive equality approach</w:t>
      </w:r>
      <w:r>
        <w:rPr>
          <w:lang w:val="en-US"/>
        </w:rPr>
        <w:t xml:space="preserve">. </w:t>
      </w:r>
      <w:r w:rsidR="00DF5A31" w:rsidRPr="00DF5A31">
        <w:rPr>
          <w:lang w:val="en-US"/>
        </w:rPr>
        <w:t>In Canada, accessibility legislation is a response to the difficulties of having the equality rights of people with disabilities recognized through a reactive regulatory system.  Reactive regulatory systems a</w:t>
      </w:r>
      <w:r w:rsidR="003F4415">
        <w:rPr>
          <w:lang w:val="en-US"/>
        </w:rPr>
        <w:t>im to provide redress for wrong</w:t>
      </w:r>
      <w:r w:rsidR="00DF5A31" w:rsidRPr="00DF5A31">
        <w:rPr>
          <w:lang w:val="en-US"/>
        </w:rPr>
        <w:t>doing when</w:t>
      </w:r>
      <w:r w:rsidR="00D44E9E">
        <w:rPr>
          <w:lang w:val="en-US"/>
        </w:rPr>
        <w:t xml:space="preserve"> those</w:t>
      </w:r>
      <w:r w:rsidR="00DF5A31" w:rsidRPr="00DF5A31">
        <w:rPr>
          <w:lang w:val="en-US"/>
        </w:rPr>
        <w:t xml:space="preserve"> issues of wrongdoing are brought to an adjudicator. They are not designed to capture, avoid or fix barriers before they become a problem for members of the disability community.</w:t>
      </w:r>
      <w:r w:rsidR="00B5160C">
        <w:rPr>
          <w:rStyle w:val="FootnoteReference"/>
          <w:lang w:val="en-US"/>
        </w:rPr>
        <w:footnoteReference w:id="11"/>
      </w:r>
      <w:r w:rsidR="00DF5A31" w:rsidRPr="00DF5A31">
        <w:rPr>
          <w:lang w:val="en-US"/>
        </w:rPr>
        <w:t xml:space="preserve">  Reactive regulatory systems effectively allow barriers to persist until a person with a disability brings forward a claim to have that barrier removed. On a practical level, this places a burden on individual members of the disability community to bring litigious claims forward. </w:t>
      </w:r>
    </w:p>
    <w:p w:rsidR="0048629B" w:rsidRDefault="00F203E4" w:rsidP="00920A22">
      <w:pPr>
        <w:jc w:val="both"/>
        <w:rPr>
          <w:lang w:val="en-US"/>
        </w:rPr>
      </w:pPr>
      <w:r>
        <w:rPr>
          <w:lang w:val="en-US"/>
        </w:rPr>
        <w:t>Within a reactive system,</w:t>
      </w:r>
      <w:r w:rsidR="00920A22">
        <w:rPr>
          <w:lang w:val="en-US"/>
        </w:rPr>
        <w:t xml:space="preserve"> </w:t>
      </w:r>
      <w:r w:rsidR="00EC0C47">
        <w:rPr>
          <w:lang w:val="en-US"/>
        </w:rPr>
        <w:t>people with disabilities</w:t>
      </w:r>
      <w:r w:rsidR="00EC0C47" w:rsidRPr="00DF5A31">
        <w:rPr>
          <w:lang w:val="en-US"/>
        </w:rPr>
        <w:t xml:space="preserve"> can only </w:t>
      </w:r>
      <w:r w:rsidR="00EC0C47">
        <w:rPr>
          <w:lang w:val="en-US"/>
        </w:rPr>
        <w:t xml:space="preserve">vindicate </w:t>
      </w:r>
      <w:r w:rsidR="00920A22">
        <w:rPr>
          <w:lang w:val="en-US"/>
        </w:rPr>
        <w:t>the</w:t>
      </w:r>
      <w:r w:rsidR="00EC0C47">
        <w:rPr>
          <w:lang w:val="en-US"/>
        </w:rPr>
        <w:t>ir</w:t>
      </w:r>
      <w:r w:rsidR="00920A22">
        <w:rPr>
          <w:lang w:val="en-US"/>
        </w:rPr>
        <w:t xml:space="preserve"> rights</w:t>
      </w:r>
      <w:r w:rsidR="00785EBF">
        <w:rPr>
          <w:lang w:val="en-US"/>
        </w:rPr>
        <w:t xml:space="preserve"> if they are in a position </w:t>
      </w:r>
      <w:r w:rsidR="00DF5A31" w:rsidRPr="00DF5A31">
        <w:rPr>
          <w:lang w:val="en-US"/>
        </w:rPr>
        <w:t>to bring claim</w:t>
      </w:r>
      <w:r w:rsidR="00734096">
        <w:rPr>
          <w:lang w:val="en-US"/>
        </w:rPr>
        <w:t>s</w:t>
      </w:r>
      <w:r w:rsidR="00DF5A31" w:rsidRPr="00DF5A31">
        <w:rPr>
          <w:lang w:val="en-US"/>
        </w:rPr>
        <w:t xml:space="preserve"> forward. </w:t>
      </w:r>
      <w:r w:rsidR="00F1799E">
        <w:rPr>
          <w:lang w:val="en-US"/>
        </w:rPr>
        <w:t>Yet, i</w:t>
      </w:r>
      <w:r w:rsidR="00DF5A31" w:rsidRPr="00DF5A31">
        <w:rPr>
          <w:lang w:val="en-US"/>
        </w:rPr>
        <w:t>n many cases, the</w:t>
      </w:r>
      <w:r w:rsidR="00920A22">
        <w:rPr>
          <w:lang w:val="en-US"/>
        </w:rPr>
        <w:t xml:space="preserve"> financial</w:t>
      </w:r>
      <w:r w:rsidR="00DF5A31" w:rsidRPr="00DF5A31">
        <w:rPr>
          <w:lang w:val="en-US"/>
        </w:rPr>
        <w:t xml:space="preserve"> resources to hire legal counsel or the legal skill</w:t>
      </w:r>
      <w:r w:rsidR="00376709">
        <w:rPr>
          <w:lang w:val="en-US"/>
        </w:rPr>
        <w:t>s</w:t>
      </w:r>
      <w:r w:rsidR="00DF5A31" w:rsidRPr="00DF5A31">
        <w:rPr>
          <w:lang w:val="en-US"/>
        </w:rPr>
        <w:t xml:space="preserve"> required to be an effective self-represented litigant </w:t>
      </w:r>
      <w:r w:rsidR="00376709">
        <w:rPr>
          <w:lang w:val="en-US"/>
        </w:rPr>
        <w:t>are</w:t>
      </w:r>
      <w:r w:rsidR="00DF5A31" w:rsidRPr="00DF5A31">
        <w:rPr>
          <w:lang w:val="en-US"/>
        </w:rPr>
        <w:t xml:space="preserve"> not readily available</w:t>
      </w:r>
      <w:r w:rsidR="00376709">
        <w:rPr>
          <w:lang w:val="en-US"/>
        </w:rPr>
        <w:t xml:space="preserve">. </w:t>
      </w:r>
      <w:r w:rsidR="00EC0C47">
        <w:rPr>
          <w:lang w:val="en-US"/>
        </w:rPr>
        <w:t>Working</w:t>
      </w:r>
      <w:r w:rsidR="009F20E1">
        <w:rPr>
          <w:lang w:val="en-US"/>
        </w:rPr>
        <w:t>-</w:t>
      </w:r>
      <w:r w:rsidR="00EC0C47">
        <w:rPr>
          <w:lang w:val="en-US"/>
        </w:rPr>
        <w:t xml:space="preserve">aged </w:t>
      </w:r>
      <w:r w:rsidR="005E063B">
        <w:rPr>
          <w:lang w:val="en-US"/>
        </w:rPr>
        <w:t xml:space="preserve">people </w:t>
      </w:r>
      <w:r w:rsidR="003F4415">
        <w:rPr>
          <w:lang w:val="en-US"/>
        </w:rPr>
        <w:t>with</w:t>
      </w:r>
      <w:r w:rsidR="005E063B">
        <w:rPr>
          <w:lang w:val="en-US"/>
        </w:rPr>
        <w:t xml:space="preserve"> disabilities live below the poverty line</w:t>
      </w:r>
      <w:r w:rsidR="00EC0C47">
        <w:rPr>
          <w:lang w:val="en-US"/>
        </w:rPr>
        <w:t xml:space="preserve"> at a rate that is approximately twice that of Canadians without a disability</w:t>
      </w:r>
      <w:r w:rsidR="003F4415">
        <w:rPr>
          <w:lang w:val="en-US"/>
        </w:rPr>
        <w:t>.</w:t>
      </w:r>
      <w:r w:rsidR="00D44E9E" w:rsidRPr="00D44E9E">
        <w:rPr>
          <w:rStyle w:val="FootnoteReference"/>
          <w:lang w:val="en-US"/>
        </w:rPr>
        <w:t xml:space="preserve"> </w:t>
      </w:r>
      <w:r w:rsidR="00D44E9E" w:rsidRPr="00EC0C47">
        <w:rPr>
          <w:rStyle w:val="FootnoteReference"/>
          <w:lang w:val="en-US"/>
        </w:rPr>
        <w:footnoteReference w:id="12"/>
      </w:r>
      <w:r w:rsidR="003F4415">
        <w:rPr>
          <w:lang w:val="en-US"/>
        </w:rPr>
        <w:t xml:space="preserve"> </w:t>
      </w:r>
      <w:r w:rsidR="00F1799E">
        <w:rPr>
          <w:lang w:val="en-US"/>
        </w:rPr>
        <w:t>People with disabilities</w:t>
      </w:r>
      <w:r w:rsidR="003F4415">
        <w:rPr>
          <w:lang w:val="en-US"/>
        </w:rPr>
        <w:t xml:space="preserve"> also</w:t>
      </w:r>
      <w:r w:rsidR="005E063B">
        <w:rPr>
          <w:lang w:val="en-US"/>
        </w:rPr>
        <w:t xml:space="preserve"> </w:t>
      </w:r>
      <w:r w:rsidR="00F1799E">
        <w:rPr>
          <w:lang w:val="en-US"/>
        </w:rPr>
        <w:t>disproportionately experience</w:t>
      </w:r>
      <w:r w:rsidR="00102E3D">
        <w:rPr>
          <w:lang w:val="en-US"/>
        </w:rPr>
        <w:t xml:space="preserve"> </w:t>
      </w:r>
      <w:r w:rsidR="00267819">
        <w:rPr>
          <w:lang w:val="en-US"/>
        </w:rPr>
        <w:t xml:space="preserve">barriers </w:t>
      </w:r>
      <w:r w:rsidR="00D44E9E">
        <w:rPr>
          <w:lang w:val="en-US"/>
        </w:rPr>
        <w:t>to</w:t>
      </w:r>
      <w:r w:rsidR="005E063B">
        <w:rPr>
          <w:lang w:val="en-US"/>
        </w:rPr>
        <w:t xml:space="preserve"> education</w:t>
      </w:r>
      <w:r w:rsidR="00DF5A31" w:rsidRPr="00DF5A31">
        <w:rPr>
          <w:lang w:val="en-US"/>
        </w:rPr>
        <w:t>.</w:t>
      </w:r>
      <w:r w:rsidR="00D44E9E" w:rsidRPr="000F7151">
        <w:rPr>
          <w:rStyle w:val="FootnoteReference"/>
          <w:lang w:val="en-US"/>
        </w:rPr>
        <w:footnoteReference w:id="13"/>
      </w:r>
      <w:r w:rsidR="005E063B" w:rsidRPr="005E063B">
        <w:rPr>
          <w:lang w:val="en-US"/>
        </w:rPr>
        <w:t xml:space="preserve">  </w:t>
      </w:r>
      <w:r w:rsidR="00557A95">
        <w:rPr>
          <w:lang w:val="en-US"/>
        </w:rPr>
        <w:t>A</w:t>
      </w:r>
      <w:r w:rsidR="00B07AB2">
        <w:rPr>
          <w:lang w:val="en-US"/>
        </w:rPr>
        <w:t xml:space="preserve"> significant </w:t>
      </w:r>
      <w:r w:rsidR="0048629B">
        <w:rPr>
          <w:lang w:val="en-US"/>
        </w:rPr>
        <w:t xml:space="preserve">percentage </w:t>
      </w:r>
      <w:r w:rsidR="00B07AB2">
        <w:rPr>
          <w:lang w:val="en-US"/>
        </w:rPr>
        <w:t xml:space="preserve">of persons with disabilities are </w:t>
      </w:r>
      <w:r w:rsidR="001D3863">
        <w:rPr>
          <w:lang w:val="en-US"/>
        </w:rPr>
        <w:t>left</w:t>
      </w:r>
      <w:r w:rsidR="00B07AB2">
        <w:rPr>
          <w:lang w:val="en-US"/>
        </w:rPr>
        <w:t xml:space="preserve"> try</w:t>
      </w:r>
      <w:r w:rsidR="001D3863">
        <w:rPr>
          <w:lang w:val="en-US"/>
        </w:rPr>
        <w:t>ing</w:t>
      </w:r>
      <w:r w:rsidR="00B07AB2">
        <w:rPr>
          <w:lang w:val="en-US"/>
        </w:rPr>
        <w:t xml:space="preserve"> to represent themselves before tribunals and courts on issues relating to their disabilities</w:t>
      </w:r>
      <w:r w:rsidR="009306E2">
        <w:rPr>
          <w:lang w:val="en-US"/>
        </w:rPr>
        <w:t>,</w:t>
      </w:r>
      <w:r w:rsidR="009306E2">
        <w:rPr>
          <w:rStyle w:val="FootnoteReference"/>
          <w:lang w:val="en-US"/>
        </w:rPr>
        <w:footnoteReference w:id="14"/>
      </w:r>
      <w:r w:rsidR="009306E2">
        <w:rPr>
          <w:lang w:val="en-US"/>
        </w:rPr>
        <w:t xml:space="preserve"> and</w:t>
      </w:r>
      <w:r w:rsidR="003F4415">
        <w:rPr>
          <w:lang w:val="en-US"/>
        </w:rPr>
        <w:t xml:space="preserve"> within a</w:t>
      </w:r>
      <w:r w:rsidR="0036735C">
        <w:rPr>
          <w:lang w:val="en-US"/>
        </w:rPr>
        <w:t>n unequal</w:t>
      </w:r>
      <w:r w:rsidR="003F4415">
        <w:rPr>
          <w:lang w:val="en-US"/>
        </w:rPr>
        <w:t xml:space="preserve"> power dynamic</w:t>
      </w:r>
      <w:r w:rsidR="00376709">
        <w:rPr>
          <w:lang w:val="en-US"/>
        </w:rPr>
        <w:t xml:space="preserve">. The imbalance of power </w:t>
      </w:r>
      <w:r w:rsidR="00102E3D">
        <w:rPr>
          <w:lang w:val="en-US"/>
        </w:rPr>
        <w:t>is</w:t>
      </w:r>
      <w:r w:rsidR="00376709">
        <w:rPr>
          <w:lang w:val="en-US"/>
        </w:rPr>
        <w:t xml:space="preserve"> </w:t>
      </w:r>
      <w:r w:rsidR="00D44E9E">
        <w:rPr>
          <w:lang w:val="en-US"/>
        </w:rPr>
        <w:t>particularly</w:t>
      </w:r>
      <w:r w:rsidR="00376709">
        <w:rPr>
          <w:lang w:val="en-US"/>
        </w:rPr>
        <w:t xml:space="preserve"> acute when people with disabilities are up against</w:t>
      </w:r>
      <w:r w:rsidR="003F4415">
        <w:rPr>
          <w:lang w:val="en-US"/>
        </w:rPr>
        <w:t xml:space="preserve"> </w:t>
      </w:r>
      <w:r w:rsidR="00D44E9E">
        <w:rPr>
          <w:lang w:val="en-US"/>
        </w:rPr>
        <w:t>well-resourced</w:t>
      </w:r>
      <w:r w:rsidR="00102E3D">
        <w:rPr>
          <w:lang w:val="en-US"/>
        </w:rPr>
        <w:t>, legally represented</w:t>
      </w:r>
      <w:r w:rsidR="00D44E9E">
        <w:rPr>
          <w:lang w:val="en-US"/>
        </w:rPr>
        <w:t xml:space="preserve"> respondents.</w:t>
      </w:r>
      <w:r w:rsidR="00CD5FDC">
        <w:rPr>
          <w:rStyle w:val="FootnoteReference"/>
          <w:lang w:val="en-US"/>
        </w:rPr>
        <w:footnoteReference w:id="15"/>
      </w:r>
      <w:r w:rsidR="00D44E9E">
        <w:rPr>
          <w:lang w:val="en-US"/>
        </w:rPr>
        <w:t xml:space="preserve"> The stressfulness of the situation </w:t>
      </w:r>
      <w:r w:rsidR="0036735C">
        <w:rPr>
          <w:lang w:val="en-US"/>
        </w:rPr>
        <w:t>is</w:t>
      </w:r>
      <w:r w:rsidR="00D44E9E">
        <w:rPr>
          <w:lang w:val="en-US"/>
        </w:rPr>
        <w:t xml:space="preserve"> aggr</w:t>
      </w:r>
      <w:r w:rsidR="009306E2">
        <w:rPr>
          <w:lang w:val="en-US"/>
        </w:rPr>
        <w:t>avated</w:t>
      </w:r>
      <w:r w:rsidR="00D44E9E">
        <w:rPr>
          <w:lang w:val="en-US"/>
        </w:rPr>
        <w:t xml:space="preserve"> by having </w:t>
      </w:r>
      <w:r w:rsidR="009306E2" w:rsidRPr="009306E2">
        <w:t>to defend one's case while also being</w:t>
      </w:r>
      <w:r w:rsidR="009306E2">
        <w:t xml:space="preserve"> required to explain the nature</w:t>
      </w:r>
      <w:r w:rsidR="009306E2" w:rsidRPr="009306E2">
        <w:t xml:space="preserve"> of one's disability and how the </w:t>
      </w:r>
      <w:r w:rsidR="00734096">
        <w:t xml:space="preserve">situation giving rise to the conflict has had an impact on </w:t>
      </w:r>
      <w:r w:rsidR="009306E2" w:rsidRPr="009306E2">
        <w:t>the</w:t>
      </w:r>
      <w:r w:rsidR="00102E3D">
        <w:t>m</w:t>
      </w:r>
      <w:r w:rsidR="009306E2" w:rsidRPr="009306E2">
        <w:t>.</w:t>
      </w:r>
      <w:r w:rsidR="00D44E9E">
        <w:rPr>
          <w:lang w:val="en-US"/>
        </w:rPr>
        <w:t xml:space="preserve"> </w:t>
      </w:r>
      <w:r w:rsidR="00B07AB2">
        <w:rPr>
          <w:lang w:val="en-US"/>
        </w:rPr>
        <w:t xml:space="preserve">This </w:t>
      </w:r>
      <w:r w:rsidR="00734096">
        <w:rPr>
          <w:lang w:val="en-US"/>
        </w:rPr>
        <w:t xml:space="preserve">confluence of circumstances </w:t>
      </w:r>
      <w:r w:rsidR="00B07AB2">
        <w:rPr>
          <w:lang w:val="en-US"/>
        </w:rPr>
        <w:t>can</w:t>
      </w:r>
      <w:r w:rsidR="003F4415">
        <w:rPr>
          <w:lang w:val="en-US"/>
        </w:rPr>
        <w:t xml:space="preserve"> be devastating to </w:t>
      </w:r>
      <w:r w:rsidR="00F1799E">
        <w:rPr>
          <w:lang w:val="en-US"/>
        </w:rPr>
        <w:t>one’s</w:t>
      </w:r>
      <w:r w:rsidR="003F4415">
        <w:rPr>
          <w:lang w:val="en-US"/>
        </w:rPr>
        <w:t xml:space="preserve"> case</w:t>
      </w:r>
      <w:r w:rsidR="00734096">
        <w:rPr>
          <w:lang w:val="en-US"/>
        </w:rPr>
        <w:t xml:space="preserve"> </w:t>
      </w:r>
      <w:r w:rsidR="00ED2D87">
        <w:rPr>
          <w:lang w:val="en-US"/>
        </w:rPr>
        <w:t>and</w:t>
      </w:r>
      <w:r w:rsidR="00734096">
        <w:rPr>
          <w:lang w:val="en-US"/>
        </w:rPr>
        <w:t xml:space="preserve"> may also </w:t>
      </w:r>
      <w:r w:rsidR="00046DBB">
        <w:rPr>
          <w:lang w:val="en-US"/>
        </w:rPr>
        <w:t xml:space="preserve">have negative </w:t>
      </w:r>
      <w:r w:rsidR="003F4415">
        <w:rPr>
          <w:lang w:val="en-US"/>
        </w:rPr>
        <w:t xml:space="preserve">implications for </w:t>
      </w:r>
      <w:r w:rsidR="00F1799E">
        <w:rPr>
          <w:lang w:val="en-US"/>
        </w:rPr>
        <w:t>one’s</w:t>
      </w:r>
      <w:r w:rsidR="00B07AB2">
        <w:rPr>
          <w:lang w:val="en-US"/>
        </w:rPr>
        <w:t xml:space="preserve"> health. </w:t>
      </w:r>
    </w:p>
    <w:p w:rsidR="00DF5A31" w:rsidRPr="00DF5A31" w:rsidRDefault="005E063B" w:rsidP="008628A0">
      <w:pPr>
        <w:jc w:val="both"/>
        <w:rPr>
          <w:lang w:val="en-US"/>
        </w:rPr>
      </w:pPr>
      <w:r w:rsidRPr="005E063B">
        <w:rPr>
          <w:lang w:val="en-US"/>
        </w:rPr>
        <w:t xml:space="preserve">More importantly, when it comes to human rights issues, </w:t>
      </w:r>
      <w:r w:rsidR="007455B3">
        <w:rPr>
          <w:lang w:val="en-US"/>
        </w:rPr>
        <w:t>disability discrimination constitutes the most frequently alleged ground of discrimination before human rights commissions and tribunals in Canada.</w:t>
      </w:r>
      <w:r w:rsidR="007436B3">
        <w:rPr>
          <w:rStyle w:val="FootnoteReference"/>
          <w:lang w:val="en-US"/>
        </w:rPr>
        <w:footnoteReference w:id="16"/>
      </w:r>
      <w:r w:rsidR="007455B3">
        <w:rPr>
          <w:lang w:val="en-US"/>
        </w:rPr>
        <w:t xml:space="preserve"> </w:t>
      </w:r>
      <w:r w:rsidR="00A57918">
        <w:rPr>
          <w:lang w:val="en-US"/>
        </w:rPr>
        <w:t>Legal aid is also generally not available for human rights cases.</w:t>
      </w:r>
      <w:r w:rsidR="00A57918" w:rsidRPr="00A57918">
        <w:rPr>
          <w:rStyle w:val="FootnoteReference"/>
          <w:lang w:val="en-US"/>
        </w:rPr>
        <w:t xml:space="preserve"> </w:t>
      </w:r>
      <w:r w:rsidR="00A57918">
        <w:rPr>
          <w:rStyle w:val="FootnoteReference"/>
          <w:lang w:val="en-US"/>
        </w:rPr>
        <w:footnoteReference w:id="17"/>
      </w:r>
      <w:r w:rsidR="00A57918">
        <w:rPr>
          <w:lang w:val="en-US"/>
        </w:rPr>
        <w:t xml:space="preserve"> </w:t>
      </w:r>
      <w:r w:rsidR="007455B3">
        <w:rPr>
          <w:lang w:val="en-US"/>
        </w:rPr>
        <w:t>P</w:t>
      </w:r>
      <w:r w:rsidRPr="005E063B">
        <w:rPr>
          <w:lang w:val="en-US"/>
        </w:rPr>
        <w:t xml:space="preserve">eople with disabilities are </w:t>
      </w:r>
      <w:r w:rsidR="0036735C">
        <w:rPr>
          <w:lang w:val="en-US"/>
        </w:rPr>
        <w:t xml:space="preserve">therefore </w:t>
      </w:r>
      <w:r w:rsidRPr="005E063B">
        <w:rPr>
          <w:lang w:val="en-US"/>
        </w:rPr>
        <w:t xml:space="preserve">caught in the dilemma of having the largest number of matters brought before human rights commissions and tribunals in Canada yet also systemically being unable to avail themselves of legal aid to support them in making their claims.  </w:t>
      </w:r>
      <w:r w:rsidR="009F20E1">
        <w:rPr>
          <w:lang w:val="en-US"/>
        </w:rPr>
        <w:t>This poses a particular access to justice problem.</w:t>
      </w:r>
      <w:r w:rsidR="009F20E1">
        <w:rPr>
          <w:rStyle w:val="FootnoteReference"/>
          <w:lang w:val="en-US"/>
        </w:rPr>
        <w:footnoteReference w:id="18"/>
      </w:r>
      <w:r w:rsidR="009F20E1">
        <w:rPr>
          <w:lang w:val="en-US"/>
        </w:rPr>
        <w:t xml:space="preserve"> </w:t>
      </w:r>
      <w:r w:rsidRPr="005E063B">
        <w:rPr>
          <w:lang w:val="en-US"/>
        </w:rPr>
        <w:t xml:space="preserve"> </w:t>
      </w:r>
      <w:r w:rsidR="002F6147">
        <w:rPr>
          <w:lang w:val="en-US"/>
        </w:rPr>
        <w:t>Furthermore, m</w:t>
      </w:r>
      <w:r w:rsidR="00DF5A31" w:rsidRPr="00DF5A31">
        <w:rPr>
          <w:lang w:val="en-US"/>
        </w:rPr>
        <w:t xml:space="preserve">any </w:t>
      </w:r>
      <w:r>
        <w:rPr>
          <w:lang w:val="en-US"/>
        </w:rPr>
        <w:t xml:space="preserve">human rights </w:t>
      </w:r>
      <w:r w:rsidR="00DF5A31" w:rsidRPr="00DF5A31">
        <w:rPr>
          <w:lang w:val="en-US"/>
        </w:rPr>
        <w:t xml:space="preserve">claims are settled, with confidentiality orders attached, leaving an information void where there should be public understanding of how barriers to inclusion have been </w:t>
      </w:r>
      <w:r w:rsidR="00ED2D87">
        <w:rPr>
          <w:lang w:val="en-US"/>
        </w:rPr>
        <w:t>handled</w:t>
      </w:r>
      <w:r w:rsidR="00DF5A31" w:rsidRPr="00DF5A31">
        <w:rPr>
          <w:lang w:val="en-US"/>
        </w:rPr>
        <w:t xml:space="preserve">. Even when equality cases are successful, there have been issues around the enforcement of court </w:t>
      </w:r>
      <w:r w:rsidR="00ED2D87">
        <w:rPr>
          <w:lang w:val="en-US"/>
        </w:rPr>
        <w:t>decisions</w:t>
      </w:r>
      <w:r w:rsidR="00357652">
        <w:rPr>
          <w:lang w:val="en-US"/>
        </w:rPr>
        <w:t xml:space="preserve">, </w:t>
      </w:r>
      <w:r w:rsidR="00DF5A31" w:rsidRPr="00DF5A31">
        <w:rPr>
          <w:lang w:val="en-US"/>
        </w:rPr>
        <w:t>reinforcing the persistence of barriers.</w:t>
      </w:r>
      <w:r w:rsidR="00FD1001">
        <w:rPr>
          <w:rStyle w:val="FootnoteReference"/>
          <w:lang w:val="en-US"/>
        </w:rPr>
        <w:footnoteReference w:id="19"/>
      </w:r>
      <w:r w:rsidR="00DF5A31" w:rsidRPr="00DF5A31">
        <w:rPr>
          <w:lang w:val="en-US"/>
        </w:rPr>
        <w:t xml:space="preserve"> With new barriers arising every day from such things as technology, a reactive</w:t>
      </w:r>
      <w:r w:rsidR="002F6147">
        <w:rPr>
          <w:lang w:val="en-US"/>
        </w:rPr>
        <w:t xml:space="preserve"> regulatory</w:t>
      </w:r>
      <w:r w:rsidR="00DF5A31" w:rsidRPr="00DF5A31">
        <w:rPr>
          <w:lang w:val="en-US"/>
        </w:rPr>
        <w:t xml:space="preserve"> system simply </w:t>
      </w:r>
      <w:r w:rsidR="002F6147">
        <w:rPr>
          <w:lang w:val="en-US"/>
        </w:rPr>
        <w:t xml:space="preserve">does </w:t>
      </w:r>
      <w:r w:rsidR="00DF5A31" w:rsidRPr="00DF5A31">
        <w:rPr>
          <w:lang w:val="en-US"/>
        </w:rPr>
        <w:t xml:space="preserve">not </w:t>
      </w:r>
      <w:r w:rsidR="002F6147">
        <w:rPr>
          <w:lang w:val="en-US"/>
        </w:rPr>
        <w:t xml:space="preserve">provide </w:t>
      </w:r>
      <w:r w:rsidR="00DF5A31" w:rsidRPr="00DF5A31">
        <w:rPr>
          <w:lang w:val="en-US"/>
        </w:rPr>
        <w:t xml:space="preserve">the most effective </w:t>
      </w:r>
      <w:r w:rsidR="002F6147">
        <w:rPr>
          <w:lang w:val="en-US"/>
        </w:rPr>
        <w:t>path</w:t>
      </w:r>
      <w:r w:rsidR="00DF5A31" w:rsidRPr="00DF5A31">
        <w:rPr>
          <w:lang w:val="en-US"/>
        </w:rPr>
        <w:t xml:space="preserve"> to achiev</w:t>
      </w:r>
      <w:r w:rsidR="002F6147">
        <w:rPr>
          <w:lang w:val="en-US"/>
        </w:rPr>
        <w:t>ing</w:t>
      </w:r>
      <w:r w:rsidR="00DF5A31" w:rsidRPr="00DF5A31">
        <w:rPr>
          <w:lang w:val="en-US"/>
        </w:rPr>
        <w:t xml:space="preserve"> disability equality.</w:t>
      </w:r>
    </w:p>
    <w:p w:rsidR="00DF5A31" w:rsidRPr="00F03EDD" w:rsidRDefault="00F0613A" w:rsidP="008628A0">
      <w:pPr>
        <w:jc w:val="both"/>
        <w:rPr>
          <w:lang w:val="en-US"/>
        </w:rPr>
      </w:pPr>
      <w:r w:rsidRPr="008C670A">
        <w:rPr>
          <w:lang w:val="en-US"/>
        </w:rPr>
        <w:t>T</w:t>
      </w:r>
      <w:r w:rsidR="00ED2D87" w:rsidRPr="008C670A">
        <w:rPr>
          <w:lang w:val="en-US"/>
        </w:rPr>
        <w:t xml:space="preserve">o be transformative, </w:t>
      </w:r>
      <w:r w:rsidR="00F03EDD" w:rsidRPr="008C670A">
        <w:rPr>
          <w:lang w:val="en-US"/>
        </w:rPr>
        <w:t>accessibility legislation</w:t>
      </w:r>
      <w:r w:rsidR="00ED2D87" w:rsidRPr="008C670A">
        <w:rPr>
          <w:lang w:val="en-US"/>
        </w:rPr>
        <w:t xml:space="preserve"> </w:t>
      </w:r>
      <w:r w:rsidR="008D158B" w:rsidRPr="008C670A">
        <w:rPr>
          <w:lang w:val="en-US"/>
        </w:rPr>
        <w:t>should</w:t>
      </w:r>
      <w:r w:rsidR="00DF5A31" w:rsidRPr="008C670A">
        <w:rPr>
          <w:lang w:val="en-US"/>
        </w:rPr>
        <w:t xml:space="preserve"> </w:t>
      </w:r>
      <w:r w:rsidR="00ED2D87" w:rsidRPr="008C670A">
        <w:rPr>
          <w:lang w:val="en-US"/>
        </w:rPr>
        <w:t>w</w:t>
      </w:r>
      <w:r w:rsidR="008628A0" w:rsidRPr="008C670A">
        <w:rPr>
          <w:lang w:val="en-US"/>
        </w:rPr>
        <w:t>ork to further an inclusive equality</w:t>
      </w:r>
      <w:r w:rsidR="00DF5A31" w:rsidRPr="008C670A">
        <w:rPr>
          <w:lang w:val="en-US"/>
        </w:rPr>
        <w:t xml:space="preserve"> model of human rights</w:t>
      </w:r>
      <w:r w:rsidR="00367DE3" w:rsidRPr="008C670A">
        <w:rPr>
          <w:lang w:val="en-US"/>
        </w:rPr>
        <w:t xml:space="preserve"> and be attentive to the </w:t>
      </w:r>
      <w:r w:rsidR="001E7520" w:rsidRPr="008C670A">
        <w:rPr>
          <w:lang w:val="en-US"/>
        </w:rPr>
        <w:t>socio-</w:t>
      </w:r>
      <w:r w:rsidR="00367DE3" w:rsidRPr="008C670A">
        <w:rPr>
          <w:lang w:val="en-US"/>
        </w:rPr>
        <w:t>historical context that has affected people with disabilities in their attempts to realize their equality rights</w:t>
      </w:r>
      <w:r w:rsidR="00DF5A31" w:rsidRPr="008C670A">
        <w:rPr>
          <w:lang w:val="en-US"/>
        </w:rPr>
        <w:t>.</w:t>
      </w:r>
    </w:p>
    <w:p w:rsidR="00386AFE" w:rsidRDefault="00386AFE" w:rsidP="008628A0">
      <w:pPr>
        <w:jc w:val="both"/>
        <w:rPr>
          <w:lang w:val="en-US"/>
        </w:rPr>
      </w:pPr>
      <w:r w:rsidRPr="002279BC">
        <w:rPr>
          <w:lang w:val="en-US"/>
        </w:rPr>
        <w:t xml:space="preserve">It can be </w:t>
      </w:r>
      <w:r w:rsidR="00357652" w:rsidRPr="002279BC">
        <w:rPr>
          <w:lang w:val="en-US"/>
        </w:rPr>
        <w:t>instructive</w:t>
      </w:r>
      <w:r w:rsidRPr="002279BC">
        <w:rPr>
          <w:lang w:val="en-US"/>
        </w:rPr>
        <w:t xml:space="preserve"> to </w:t>
      </w:r>
      <w:r w:rsidR="008D158B" w:rsidRPr="002279BC">
        <w:rPr>
          <w:lang w:val="en-US"/>
        </w:rPr>
        <w:t>consider</w:t>
      </w:r>
      <w:r w:rsidRPr="002279BC">
        <w:rPr>
          <w:lang w:val="en-US"/>
        </w:rPr>
        <w:t xml:space="preserve"> the</w:t>
      </w:r>
      <w:r w:rsidR="00357652" w:rsidRPr="002279BC">
        <w:rPr>
          <w:lang w:val="en-US"/>
        </w:rPr>
        <w:t xml:space="preserve"> proposed</w:t>
      </w:r>
      <w:r w:rsidRPr="002279BC">
        <w:rPr>
          <w:lang w:val="en-US"/>
        </w:rPr>
        <w:t xml:space="preserve"> </w:t>
      </w:r>
      <w:r w:rsidR="0048629B" w:rsidRPr="002279BC">
        <w:rPr>
          <w:lang w:val="en-US"/>
        </w:rPr>
        <w:t>federal accessibility legislation</w:t>
      </w:r>
      <w:r w:rsidRPr="002279BC">
        <w:rPr>
          <w:lang w:val="en-US"/>
        </w:rPr>
        <w:t xml:space="preserve"> </w:t>
      </w:r>
      <w:r w:rsidR="00357652" w:rsidRPr="002279BC">
        <w:rPr>
          <w:lang w:val="en-US"/>
        </w:rPr>
        <w:t xml:space="preserve">with an eye to </w:t>
      </w:r>
      <w:r w:rsidRPr="002279BC">
        <w:rPr>
          <w:lang w:val="en-US"/>
        </w:rPr>
        <w:t>determin</w:t>
      </w:r>
      <w:r w:rsidR="0048629B" w:rsidRPr="002279BC">
        <w:rPr>
          <w:lang w:val="en-US"/>
        </w:rPr>
        <w:t>ing</w:t>
      </w:r>
      <w:r w:rsidRPr="002279BC">
        <w:rPr>
          <w:lang w:val="en-US"/>
        </w:rPr>
        <w:t xml:space="preserve"> </w:t>
      </w:r>
      <w:r w:rsidR="00F03EDD" w:rsidRPr="002279BC">
        <w:rPr>
          <w:lang w:val="en-US"/>
        </w:rPr>
        <w:t>how its governance functions may</w:t>
      </w:r>
      <w:r w:rsidRPr="002279BC">
        <w:rPr>
          <w:lang w:val="en-US"/>
        </w:rPr>
        <w:t xml:space="preserve"> promote an inclusive </w:t>
      </w:r>
      <w:r w:rsidR="001E7520">
        <w:rPr>
          <w:lang w:val="en-US"/>
        </w:rPr>
        <w:t>(</w:t>
      </w:r>
      <w:r w:rsidRPr="002279BC">
        <w:rPr>
          <w:lang w:val="en-US"/>
        </w:rPr>
        <w:t>and transformative</w:t>
      </w:r>
      <w:r w:rsidR="001E7520">
        <w:rPr>
          <w:lang w:val="en-US"/>
        </w:rPr>
        <w:t>)</w:t>
      </w:r>
      <w:r w:rsidRPr="002279BC">
        <w:rPr>
          <w:lang w:val="en-US"/>
        </w:rPr>
        <w:t xml:space="preserve"> human rights approach to equality for persons with disabilities. This theoretical framework </w:t>
      </w:r>
      <w:r w:rsidR="00C33D39" w:rsidRPr="002279BC">
        <w:rPr>
          <w:lang w:val="en-US"/>
        </w:rPr>
        <w:t>will</w:t>
      </w:r>
      <w:r w:rsidRPr="002279BC">
        <w:rPr>
          <w:lang w:val="en-US"/>
        </w:rPr>
        <w:t xml:space="preserve"> </w:t>
      </w:r>
      <w:r w:rsidR="00C33D39" w:rsidRPr="002279BC">
        <w:rPr>
          <w:lang w:val="en-US"/>
        </w:rPr>
        <w:t xml:space="preserve">therefore </w:t>
      </w:r>
      <w:r w:rsidRPr="002279BC">
        <w:rPr>
          <w:lang w:val="en-US"/>
        </w:rPr>
        <w:t xml:space="preserve">be kept in mind as the governance functions </w:t>
      </w:r>
      <w:r w:rsidR="008D158B" w:rsidRPr="002279BC">
        <w:rPr>
          <w:lang w:val="en-US"/>
        </w:rPr>
        <w:t xml:space="preserve">of other jurisdictions </w:t>
      </w:r>
      <w:r w:rsidR="00C33D39" w:rsidRPr="002279BC">
        <w:rPr>
          <w:lang w:val="en-US"/>
        </w:rPr>
        <w:t xml:space="preserve">are </w:t>
      </w:r>
      <w:r w:rsidRPr="002279BC">
        <w:rPr>
          <w:lang w:val="en-US"/>
        </w:rPr>
        <w:t>examined below</w:t>
      </w:r>
      <w:r w:rsidR="00C33D39" w:rsidRPr="002279BC">
        <w:rPr>
          <w:lang w:val="en-US"/>
        </w:rPr>
        <w:t>.</w:t>
      </w:r>
    </w:p>
    <w:p w:rsidR="00B21C28" w:rsidRDefault="00B21C28" w:rsidP="008628A0">
      <w:pPr>
        <w:jc w:val="both"/>
      </w:pPr>
    </w:p>
    <w:p w:rsidR="008C670A" w:rsidRPr="00D53A33" w:rsidRDefault="008C670A" w:rsidP="008628A0">
      <w:pPr>
        <w:jc w:val="both"/>
      </w:pPr>
    </w:p>
    <w:p w:rsidR="009D7380" w:rsidRDefault="00086CEE" w:rsidP="00086CEE">
      <w:pPr>
        <w:pStyle w:val="Heading2"/>
        <w:numPr>
          <w:ilvl w:val="0"/>
          <w:numId w:val="18"/>
        </w:numPr>
        <w:rPr>
          <w:lang w:val="en-US"/>
        </w:rPr>
      </w:pPr>
      <w:bookmarkStart w:id="6" w:name="_Toc505751496"/>
      <w:r>
        <w:rPr>
          <w:lang w:val="en-US"/>
        </w:rPr>
        <w:t>The Creation of Accessibility S</w:t>
      </w:r>
      <w:r w:rsidR="009D7380" w:rsidRPr="009D7380">
        <w:rPr>
          <w:lang w:val="en-US"/>
        </w:rPr>
        <w:t>tandards</w:t>
      </w:r>
      <w:bookmarkEnd w:id="6"/>
    </w:p>
    <w:p w:rsidR="00B21C28" w:rsidRPr="00B21C28" w:rsidRDefault="00B21C28" w:rsidP="00B21C28">
      <w:pPr>
        <w:rPr>
          <w:lang w:val="en-US"/>
        </w:rPr>
      </w:pPr>
    </w:p>
    <w:p w:rsidR="003B60AB" w:rsidRPr="00086CEE" w:rsidRDefault="00DD5FEC" w:rsidP="00086CEE">
      <w:pPr>
        <w:pStyle w:val="Heading3"/>
        <w:numPr>
          <w:ilvl w:val="0"/>
          <w:numId w:val="19"/>
        </w:numPr>
        <w:rPr>
          <w:lang w:val="en-US"/>
        </w:rPr>
      </w:pPr>
      <w:bookmarkStart w:id="7" w:name="_Toc505751497"/>
      <w:r>
        <w:rPr>
          <w:lang w:val="en-US"/>
        </w:rPr>
        <w:t>Models for C</w:t>
      </w:r>
      <w:r w:rsidR="003B60AB" w:rsidRPr="00086CEE">
        <w:rPr>
          <w:lang w:val="en-US"/>
        </w:rPr>
        <w:t xml:space="preserve">reating </w:t>
      </w:r>
      <w:r>
        <w:rPr>
          <w:lang w:val="en-US"/>
        </w:rPr>
        <w:t>A</w:t>
      </w:r>
      <w:r w:rsidR="00086CEE">
        <w:rPr>
          <w:lang w:val="en-US"/>
        </w:rPr>
        <w:t>ccessibi</w:t>
      </w:r>
      <w:r w:rsidR="00386AFE">
        <w:rPr>
          <w:lang w:val="en-US"/>
        </w:rPr>
        <w:t>l</w:t>
      </w:r>
      <w:r w:rsidR="00086CEE">
        <w:rPr>
          <w:lang w:val="en-US"/>
        </w:rPr>
        <w:t xml:space="preserve">ity </w:t>
      </w:r>
      <w:r>
        <w:rPr>
          <w:lang w:val="en-US"/>
        </w:rPr>
        <w:t>S</w:t>
      </w:r>
      <w:r w:rsidR="003B60AB" w:rsidRPr="00086CEE">
        <w:rPr>
          <w:lang w:val="en-US"/>
        </w:rPr>
        <w:t>tandards</w:t>
      </w:r>
      <w:bookmarkEnd w:id="7"/>
    </w:p>
    <w:p w:rsidR="00B21C28" w:rsidRDefault="00B21C28" w:rsidP="00B21C28">
      <w:pPr>
        <w:jc w:val="both"/>
        <w:rPr>
          <w:lang w:val="en-US"/>
        </w:rPr>
      </w:pPr>
    </w:p>
    <w:p w:rsidR="009854D5" w:rsidRDefault="00C34A2A" w:rsidP="00B21C28">
      <w:pPr>
        <w:jc w:val="both"/>
        <w:rPr>
          <w:lang w:val="en-US"/>
        </w:rPr>
      </w:pPr>
      <w:r>
        <w:rPr>
          <w:lang w:val="en-US"/>
        </w:rPr>
        <w:t>T</w:t>
      </w:r>
      <w:r w:rsidR="00BD0781">
        <w:rPr>
          <w:lang w:val="en-US"/>
        </w:rPr>
        <w:t>wo dominant models exist</w:t>
      </w:r>
      <w:r w:rsidR="00AC36C9">
        <w:rPr>
          <w:lang w:val="en-US"/>
        </w:rPr>
        <w:t xml:space="preserve"> when it comes to institutional choices for the creation of standards. In the first model, the creation of accessibility standards is directed by a centralized minister. The areas in which standards will be developed are </w:t>
      </w:r>
      <w:r>
        <w:rPr>
          <w:lang w:val="en-US"/>
        </w:rPr>
        <w:t>designated</w:t>
      </w:r>
      <w:r w:rsidR="00AC36C9">
        <w:rPr>
          <w:lang w:val="en-US"/>
        </w:rPr>
        <w:t xml:space="preserve"> in the statute or decided at the discretion of this </w:t>
      </w:r>
      <w:r w:rsidR="009854D5">
        <w:rPr>
          <w:lang w:val="en-US"/>
        </w:rPr>
        <w:t xml:space="preserve">responsible </w:t>
      </w:r>
      <w:r w:rsidR="00AC36C9">
        <w:rPr>
          <w:lang w:val="en-US"/>
        </w:rPr>
        <w:t xml:space="preserve">minister, though consultation with other ministers </w:t>
      </w:r>
      <w:r>
        <w:rPr>
          <w:lang w:val="en-US"/>
        </w:rPr>
        <w:t>may be</w:t>
      </w:r>
      <w:r w:rsidR="00AC36C9">
        <w:rPr>
          <w:lang w:val="en-US"/>
        </w:rPr>
        <w:t xml:space="preserve"> </w:t>
      </w:r>
      <w:r>
        <w:rPr>
          <w:lang w:val="en-US"/>
        </w:rPr>
        <w:t>mandated</w:t>
      </w:r>
      <w:r w:rsidR="00AC36C9">
        <w:rPr>
          <w:lang w:val="en-US"/>
        </w:rPr>
        <w:t xml:space="preserve"> in the statute or completed as a practice. Th</w:t>
      </w:r>
      <w:r>
        <w:rPr>
          <w:lang w:val="en-US"/>
        </w:rPr>
        <w:t>e</w:t>
      </w:r>
      <w:r w:rsidR="00AC36C9">
        <w:rPr>
          <w:lang w:val="en-US"/>
        </w:rPr>
        <w:t xml:space="preserve"> minister is responsible for setting the terms of reference and for establishing the standard development committees.</w:t>
      </w:r>
      <w:r w:rsidR="009854D5">
        <w:rPr>
          <w:lang w:val="en-US"/>
        </w:rPr>
        <w:t xml:space="preserve"> This model was used in Ontario.</w:t>
      </w:r>
      <w:r>
        <w:rPr>
          <w:lang w:val="en-US"/>
        </w:rPr>
        <w:t xml:space="preserve"> Australia also has a centralized minister responsible for the development of standards in its </w:t>
      </w:r>
      <w:r w:rsidR="00FD1001" w:rsidRPr="00FD1001">
        <w:rPr>
          <w:i/>
          <w:lang w:val="en-US"/>
        </w:rPr>
        <w:t>Disability Discrimination Act</w:t>
      </w:r>
      <w:r>
        <w:rPr>
          <w:lang w:val="en-US"/>
        </w:rPr>
        <w:t>.</w:t>
      </w:r>
    </w:p>
    <w:p w:rsidR="009D7380" w:rsidRDefault="009854D5" w:rsidP="00B21C28">
      <w:pPr>
        <w:jc w:val="both"/>
        <w:rPr>
          <w:lang w:val="en-US"/>
        </w:rPr>
      </w:pPr>
      <w:r>
        <w:rPr>
          <w:lang w:val="en-US"/>
        </w:rPr>
        <w:t xml:space="preserve">Two additional features of this model </w:t>
      </w:r>
      <w:r w:rsidR="00C34A2A">
        <w:rPr>
          <w:lang w:val="en-US"/>
        </w:rPr>
        <w:t xml:space="preserve">have </w:t>
      </w:r>
      <w:r w:rsidR="003F4415">
        <w:rPr>
          <w:lang w:val="en-US"/>
        </w:rPr>
        <w:t>developed</w:t>
      </w:r>
      <w:r w:rsidR="00C34A2A">
        <w:rPr>
          <w:lang w:val="en-US"/>
        </w:rPr>
        <w:t xml:space="preserve"> in practice. Firstly,</w:t>
      </w:r>
      <w:r>
        <w:rPr>
          <w:lang w:val="en-US"/>
        </w:rPr>
        <w:t xml:space="preserve"> members of the human rights commission </w:t>
      </w:r>
      <w:r w:rsidR="003F4415">
        <w:rPr>
          <w:lang w:val="en-US"/>
        </w:rPr>
        <w:t xml:space="preserve">of the jurisdiction </w:t>
      </w:r>
      <w:r>
        <w:rPr>
          <w:lang w:val="en-US"/>
        </w:rPr>
        <w:t xml:space="preserve">are generally involved in the development of </w:t>
      </w:r>
      <w:r w:rsidR="003F4415">
        <w:rPr>
          <w:lang w:val="en-US"/>
        </w:rPr>
        <w:t xml:space="preserve">the accessibility </w:t>
      </w:r>
      <w:r>
        <w:rPr>
          <w:lang w:val="en-US"/>
        </w:rPr>
        <w:t xml:space="preserve">standards. In Ontario, members of the Human Rights Commission worked with the standard development committees as they </w:t>
      </w:r>
      <w:r w:rsidR="00915212">
        <w:rPr>
          <w:lang w:val="en-US"/>
        </w:rPr>
        <w:t>created</w:t>
      </w:r>
      <w:r>
        <w:rPr>
          <w:lang w:val="en-US"/>
        </w:rPr>
        <w:t xml:space="preserve"> their standards. </w:t>
      </w:r>
      <w:r w:rsidR="002778C1">
        <w:rPr>
          <w:lang w:val="en-US"/>
        </w:rPr>
        <w:t>In Manitoba, t</w:t>
      </w:r>
      <w:r>
        <w:rPr>
          <w:lang w:val="en-US"/>
        </w:rPr>
        <w:t>here has also been a close connection to the Human Rights Commission in</w:t>
      </w:r>
      <w:r w:rsidRPr="009854D5">
        <w:rPr>
          <w:lang w:val="en-US"/>
        </w:rPr>
        <w:t xml:space="preserve"> </w:t>
      </w:r>
      <w:r>
        <w:rPr>
          <w:lang w:val="en-US"/>
        </w:rPr>
        <w:t>the development of standards</w:t>
      </w:r>
      <w:r w:rsidR="00915212">
        <w:rPr>
          <w:lang w:val="en-US"/>
        </w:rPr>
        <w:t>. This is</w:t>
      </w:r>
      <w:r>
        <w:rPr>
          <w:lang w:val="en-US"/>
        </w:rPr>
        <w:t xml:space="preserve"> due in part to the size and structure of government in that province which facilitates a natural alignment between the human rights commission and the Disability Issues Office. </w:t>
      </w:r>
      <w:r w:rsidR="00D5743F">
        <w:rPr>
          <w:lang w:val="en-US"/>
        </w:rPr>
        <w:t xml:space="preserve">Human rights expertise can be useful for clarifying obligations under the human rights legislation at an early stage. It can also be useful for ensuring an inclusive equality perspective </w:t>
      </w:r>
      <w:r w:rsidR="00E95C64">
        <w:rPr>
          <w:lang w:val="en-US"/>
        </w:rPr>
        <w:t>in</w:t>
      </w:r>
      <w:r w:rsidR="00D5743F">
        <w:rPr>
          <w:lang w:val="en-US"/>
        </w:rPr>
        <w:t xml:space="preserve"> the standards. </w:t>
      </w:r>
      <w:r w:rsidR="00C34A2A">
        <w:rPr>
          <w:lang w:val="en-US"/>
        </w:rPr>
        <w:t>Technical expertise</w:t>
      </w:r>
      <w:r w:rsidR="007952FD">
        <w:rPr>
          <w:lang w:val="en-US"/>
        </w:rPr>
        <w:t xml:space="preserve">  </w:t>
      </w:r>
      <w:r w:rsidR="009A1E4D">
        <w:rPr>
          <w:lang w:val="en-US"/>
        </w:rPr>
        <w:t>–</w:t>
      </w:r>
      <w:r w:rsidR="007952FD">
        <w:rPr>
          <w:lang w:val="en-US"/>
        </w:rPr>
        <w:t xml:space="preserve"> </w:t>
      </w:r>
      <w:r w:rsidR="009A1E4D">
        <w:rPr>
          <w:lang w:val="en-US"/>
        </w:rPr>
        <w:t xml:space="preserve">for </w:t>
      </w:r>
      <w:r w:rsidR="00E95504">
        <w:rPr>
          <w:lang w:val="en-US"/>
        </w:rPr>
        <w:t>example, through</w:t>
      </w:r>
      <w:r w:rsidR="00C34A2A">
        <w:rPr>
          <w:lang w:val="en-US"/>
        </w:rPr>
        <w:t xml:space="preserve"> the assistance of the Canadian Standards Association</w:t>
      </w:r>
      <w:r w:rsidR="009A1E4D">
        <w:rPr>
          <w:lang w:val="en-US"/>
        </w:rPr>
        <w:t xml:space="preserve"> –</w:t>
      </w:r>
      <w:r w:rsidR="007952FD">
        <w:rPr>
          <w:lang w:val="en-US"/>
        </w:rPr>
        <w:t xml:space="preserve"> </w:t>
      </w:r>
      <w:r w:rsidR="009A1E4D">
        <w:rPr>
          <w:lang w:val="en-US"/>
        </w:rPr>
        <w:t>is</w:t>
      </w:r>
      <w:r w:rsidR="009A1E4D" w:rsidRPr="009A1E4D">
        <w:rPr>
          <w:lang w:val="en-US"/>
        </w:rPr>
        <w:t xml:space="preserve"> </w:t>
      </w:r>
      <w:r w:rsidR="009A1E4D">
        <w:rPr>
          <w:lang w:val="en-US"/>
        </w:rPr>
        <w:t xml:space="preserve">sometimes </w:t>
      </w:r>
      <w:r w:rsidR="00C34A2A">
        <w:rPr>
          <w:lang w:val="en-US"/>
        </w:rPr>
        <w:t>also brought into the standard development</w:t>
      </w:r>
      <w:r w:rsidR="00E95504" w:rsidRPr="00E95504">
        <w:rPr>
          <w:lang w:val="en-US"/>
        </w:rPr>
        <w:t xml:space="preserve"> </w:t>
      </w:r>
      <w:r w:rsidR="00E95504">
        <w:rPr>
          <w:lang w:val="en-US"/>
        </w:rPr>
        <w:t>process</w:t>
      </w:r>
      <w:r w:rsidR="00C34A2A">
        <w:rPr>
          <w:lang w:val="en-US"/>
        </w:rPr>
        <w:t>.</w:t>
      </w:r>
    </w:p>
    <w:p w:rsidR="00510CC4" w:rsidRDefault="00510CC4" w:rsidP="00B21C28">
      <w:pPr>
        <w:autoSpaceDE w:val="0"/>
        <w:autoSpaceDN w:val="0"/>
        <w:adjustRightInd w:val="0"/>
        <w:jc w:val="both"/>
        <w:rPr>
          <w:lang w:val="en-US"/>
        </w:rPr>
      </w:pPr>
      <w:r>
        <w:rPr>
          <w:lang w:val="en-US"/>
        </w:rPr>
        <w:t xml:space="preserve">The second model for creating accessibility standards </w:t>
      </w:r>
      <w:r w:rsidR="00C34A2A">
        <w:rPr>
          <w:lang w:val="en-US"/>
        </w:rPr>
        <w:t>shares the leadership for the development of standards amongst</w:t>
      </w:r>
      <w:r>
        <w:rPr>
          <w:lang w:val="en-US"/>
        </w:rPr>
        <w:t xml:space="preserve"> many subject</w:t>
      </w:r>
      <w:r w:rsidR="00211D54">
        <w:rPr>
          <w:lang w:val="en-US"/>
        </w:rPr>
        <w:t>-</w:t>
      </w:r>
      <w:r>
        <w:rPr>
          <w:lang w:val="en-US"/>
        </w:rPr>
        <w:t xml:space="preserve">matter ministers or heads of portfolios. </w:t>
      </w:r>
      <w:r w:rsidR="00DD011B">
        <w:rPr>
          <w:lang w:val="en-US"/>
        </w:rPr>
        <w:t>T</w:t>
      </w:r>
      <w:r>
        <w:rPr>
          <w:lang w:val="en-US"/>
        </w:rPr>
        <w:t xml:space="preserve">he </w:t>
      </w:r>
      <w:r w:rsidRPr="00DD011B">
        <w:rPr>
          <w:i/>
          <w:lang w:val="en-US"/>
        </w:rPr>
        <w:t>Americans with Disabilities Act</w:t>
      </w:r>
      <w:r w:rsidR="007952FD" w:rsidRPr="007952FD">
        <w:rPr>
          <w:rStyle w:val="FootnoteReference"/>
          <w:lang w:val="en-US"/>
        </w:rPr>
        <w:footnoteReference w:id="20"/>
      </w:r>
      <w:r w:rsidR="00DD011B">
        <w:rPr>
          <w:lang w:val="en-US"/>
        </w:rPr>
        <w:t>provides</w:t>
      </w:r>
      <w:r w:rsidR="00C34A2A">
        <w:rPr>
          <w:lang w:val="en-US"/>
        </w:rPr>
        <w:t xml:space="preserve"> a </w:t>
      </w:r>
      <w:r w:rsidR="00DD011B">
        <w:rPr>
          <w:lang w:val="en-US"/>
        </w:rPr>
        <w:t>clear</w:t>
      </w:r>
      <w:r w:rsidR="00C34A2A">
        <w:rPr>
          <w:lang w:val="en-US"/>
        </w:rPr>
        <w:t xml:space="preserve"> example. Under the ADA, technical standards for architecture</w:t>
      </w:r>
      <w:r w:rsidR="00211D54">
        <w:rPr>
          <w:lang w:val="en-US"/>
        </w:rPr>
        <w:t>,</w:t>
      </w:r>
      <w:r w:rsidR="00C34A2A">
        <w:rPr>
          <w:lang w:val="en-US"/>
        </w:rPr>
        <w:t xml:space="preserve"> transportation, medical diagnostic equipment</w:t>
      </w:r>
      <w:r w:rsidR="00211D54">
        <w:rPr>
          <w:lang w:val="en-US"/>
        </w:rPr>
        <w:t>,</w:t>
      </w:r>
      <w:r w:rsidR="00C34A2A">
        <w:rPr>
          <w:lang w:val="en-US"/>
        </w:rPr>
        <w:t xml:space="preserve"> etc. are delegated to the US Access Board. </w:t>
      </w:r>
      <w:r w:rsidR="003B60AB">
        <w:rPr>
          <w:lang w:val="en-US"/>
        </w:rPr>
        <w:t>In designing these standards, t</w:t>
      </w:r>
      <w:r w:rsidR="00C34A2A">
        <w:rPr>
          <w:lang w:val="en-US"/>
        </w:rPr>
        <w:t>he Access Board works in tandem with many different departments of government</w:t>
      </w:r>
      <w:r w:rsidR="003B60AB">
        <w:rPr>
          <w:lang w:val="en-US"/>
        </w:rPr>
        <w:t>,</w:t>
      </w:r>
      <w:r w:rsidR="00C34A2A">
        <w:rPr>
          <w:lang w:val="en-US"/>
        </w:rPr>
        <w:t xml:space="preserve"> </w:t>
      </w:r>
      <w:r w:rsidR="003B60AB">
        <w:rPr>
          <w:lang w:val="en-US"/>
        </w:rPr>
        <w:t>and</w:t>
      </w:r>
      <w:r w:rsidR="00C34A2A">
        <w:rPr>
          <w:lang w:val="en-US"/>
        </w:rPr>
        <w:t xml:space="preserve"> has representatives from </w:t>
      </w:r>
      <w:r w:rsidR="003B60AB">
        <w:rPr>
          <w:lang w:val="en-US"/>
        </w:rPr>
        <w:t>these</w:t>
      </w:r>
      <w:r w:rsidR="00C34A2A">
        <w:rPr>
          <w:lang w:val="en-US"/>
        </w:rPr>
        <w:t xml:space="preserve"> departments as members of the Board.</w:t>
      </w:r>
      <w:r w:rsidR="003B60AB">
        <w:rPr>
          <w:lang w:val="en-US"/>
        </w:rPr>
        <w:t xml:space="preserve">  The Access Board is known as a technical leader in </w:t>
      </w:r>
      <w:r w:rsidR="00F428E9">
        <w:rPr>
          <w:lang w:val="en-US"/>
        </w:rPr>
        <w:t>accessible</w:t>
      </w:r>
      <w:r w:rsidR="003B60AB">
        <w:rPr>
          <w:lang w:val="en-US"/>
        </w:rPr>
        <w:t xml:space="preserve"> design</w:t>
      </w:r>
      <w:r w:rsidR="00F428E9">
        <w:rPr>
          <w:lang w:val="en-US"/>
        </w:rPr>
        <w:t xml:space="preserve"> </w:t>
      </w:r>
      <w:r w:rsidR="003B60AB">
        <w:rPr>
          <w:lang w:val="en-US"/>
        </w:rPr>
        <w:t>standards.</w:t>
      </w:r>
      <w:r w:rsidR="003B60AB">
        <w:rPr>
          <w:rStyle w:val="FootnoteReference"/>
          <w:lang w:val="en-US"/>
        </w:rPr>
        <w:footnoteReference w:id="21"/>
      </w:r>
    </w:p>
    <w:p w:rsidR="006F2B44" w:rsidRDefault="003B60AB" w:rsidP="00D5743F">
      <w:pPr>
        <w:autoSpaceDE w:val="0"/>
        <w:autoSpaceDN w:val="0"/>
        <w:adjustRightInd w:val="0"/>
        <w:jc w:val="both"/>
        <w:rPr>
          <w:lang w:val="en-US"/>
        </w:rPr>
      </w:pPr>
      <w:r>
        <w:rPr>
          <w:lang w:val="en-US"/>
        </w:rPr>
        <w:t>Both models integrate a degree of consultation in that people with disabilities and government are involved</w:t>
      </w:r>
      <w:r w:rsidR="00211D54">
        <w:rPr>
          <w:lang w:val="en-US"/>
        </w:rPr>
        <w:t xml:space="preserve"> in designing the standards</w:t>
      </w:r>
      <w:r>
        <w:rPr>
          <w:lang w:val="en-US"/>
        </w:rPr>
        <w:t xml:space="preserve">. The Canadian models tend to place emphasis on consultation between the members of the disability community and those who will be subject to the </w:t>
      </w:r>
      <w:r w:rsidR="00FD1001">
        <w:rPr>
          <w:lang w:val="en-US"/>
        </w:rPr>
        <w:t>A</w:t>
      </w:r>
      <w:r>
        <w:rPr>
          <w:lang w:val="en-US"/>
        </w:rPr>
        <w:t>ct. The US Access Board place</w:t>
      </w:r>
      <w:r w:rsidR="00211D54">
        <w:rPr>
          <w:lang w:val="en-US"/>
        </w:rPr>
        <w:t>s</w:t>
      </w:r>
      <w:r>
        <w:rPr>
          <w:lang w:val="en-US"/>
        </w:rPr>
        <w:t xml:space="preserve"> more emphasis on bringing people with disabilities and government agencies together with individuals with technical expertise.</w:t>
      </w:r>
      <w:r w:rsidR="006C3458">
        <w:rPr>
          <w:lang w:val="en-US"/>
        </w:rPr>
        <w:t xml:space="preserve"> It is recommended that the federal government should maintain the consultative approach to developing standards, particularly as it is in keeping with the CRPD requirements to include people with disabilities in the development of laws and policies that affect them.</w:t>
      </w:r>
      <w:r w:rsidR="00080FE0">
        <w:rPr>
          <w:rStyle w:val="FootnoteReference"/>
          <w:lang w:val="en-US"/>
        </w:rPr>
        <w:footnoteReference w:id="22"/>
      </w:r>
      <w:r w:rsidR="006C3458">
        <w:rPr>
          <w:lang w:val="en-US"/>
        </w:rPr>
        <w:t xml:space="preserve"> </w:t>
      </w:r>
      <w:r w:rsidR="00F16DD2">
        <w:rPr>
          <w:lang w:val="en-US"/>
        </w:rPr>
        <w:t>But, m</w:t>
      </w:r>
      <w:r w:rsidR="006C3458">
        <w:rPr>
          <w:lang w:val="en-US"/>
        </w:rPr>
        <w:t>ore technical expertise could also</w:t>
      </w:r>
      <w:r w:rsidR="00F16DD2">
        <w:rPr>
          <w:lang w:val="en-US"/>
        </w:rPr>
        <w:t xml:space="preserve"> usefully</w:t>
      </w:r>
      <w:r w:rsidR="006C3458">
        <w:rPr>
          <w:lang w:val="en-US"/>
        </w:rPr>
        <w:t xml:space="preserve"> be brought into the development of standards</w:t>
      </w:r>
      <w:r w:rsidR="00F16DD2">
        <w:rPr>
          <w:lang w:val="en-US"/>
        </w:rPr>
        <w:t xml:space="preserve"> so that the burden of finding the right technical tools does not rest on members of the disability community who may not necessarily have that technical knowledge</w:t>
      </w:r>
      <w:r w:rsidR="006C3458">
        <w:rPr>
          <w:lang w:val="en-US"/>
        </w:rPr>
        <w:t xml:space="preserve">. </w:t>
      </w:r>
      <w:r w:rsidR="00D5743F">
        <w:rPr>
          <w:lang w:val="en-US"/>
        </w:rPr>
        <w:t xml:space="preserve"> </w:t>
      </w:r>
    </w:p>
    <w:p w:rsidR="003B60AB" w:rsidRDefault="00D5743F" w:rsidP="00D5743F">
      <w:pPr>
        <w:autoSpaceDE w:val="0"/>
        <w:autoSpaceDN w:val="0"/>
        <w:adjustRightInd w:val="0"/>
        <w:jc w:val="both"/>
        <w:rPr>
          <w:lang w:val="en-US"/>
        </w:rPr>
      </w:pPr>
      <w:r>
        <w:rPr>
          <w:lang w:val="en-US"/>
        </w:rPr>
        <w:t xml:space="preserve">In conclusion, the </w:t>
      </w:r>
      <w:r w:rsidR="006C3458">
        <w:rPr>
          <w:lang w:val="en-US"/>
        </w:rPr>
        <w:t>federal government should</w:t>
      </w:r>
      <w:r>
        <w:rPr>
          <w:lang w:val="en-US"/>
        </w:rPr>
        <w:t xml:space="preserve"> consider sharing responsibility for developing standards among ministers with relevant subject portfolios. </w:t>
      </w:r>
      <w:r w:rsidR="00FE3549" w:rsidRPr="00775C20">
        <w:rPr>
          <w:lang w:val="en-US"/>
        </w:rPr>
        <w:t>The federal government minister or agency responsible for taking the lead on accessibility standards development should consult with relevant subject matter ministers.</w:t>
      </w:r>
      <w:r w:rsidR="00FE3549">
        <w:rPr>
          <w:color w:val="FF0000"/>
          <w:lang w:val="en-US"/>
        </w:rPr>
        <w:t xml:space="preserve"> </w:t>
      </w:r>
      <w:r>
        <w:rPr>
          <w:lang w:val="en-US"/>
        </w:rPr>
        <w:t>This will assist in making accessibility issues pervasive across the relevant social areas. The federal government should also make efforts to ensure that both human rights law experts (wh</w:t>
      </w:r>
      <w:r w:rsidR="00FB42E4">
        <w:rPr>
          <w:lang w:val="en-US"/>
        </w:rPr>
        <w:t>o</w:t>
      </w:r>
      <w:r>
        <w:rPr>
          <w:lang w:val="en-US"/>
        </w:rPr>
        <w:t xml:space="preserve"> could be members of the </w:t>
      </w:r>
      <w:r w:rsidR="00FB42E4">
        <w:t>Canadian Human Rights Commission</w:t>
      </w:r>
      <w:r w:rsidR="00FB42E4">
        <w:rPr>
          <w:lang w:val="en-US"/>
        </w:rPr>
        <w:t xml:space="preserve"> (</w:t>
      </w:r>
      <w:r>
        <w:rPr>
          <w:lang w:val="en-US"/>
        </w:rPr>
        <w:t>CHRC)</w:t>
      </w:r>
      <w:r w:rsidR="008967B3">
        <w:rPr>
          <w:lang w:val="en-US"/>
        </w:rPr>
        <w:t>)</w:t>
      </w:r>
      <w:r>
        <w:rPr>
          <w:lang w:val="en-US"/>
        </w:rPr>
        <w:t xml:space="preserve"> and</w:t>
      </w:r>
      <w:r w:rsidR="006C3458">
        <w:rPr>
          <w:lang w:val="en-US"/>
        </w:rPr>
        <w:t xml:space="preserve"> technical experts participate in the design of standards.</w:t>
      </w:r>
    </w:p>
    <w:p w:rsidR="00B21C28" w:rsidRDefault="00B21C28" w:rsidP="00B21C28">
      <w:pPr>
        <w:autoSpaceDE w:val="0"/>
        <w:autoSpaceDN w:val="0"/>
        <w:adjustRightInd w:val="0"/>
        <w:jc w:val="both"/>
        <w:rPr>
          <w:lang w:val="en-US"/>
        </w:rPr>
      </w:pPr>
    </w:p>
    <w:p w:rsidR="00B21C28" w:rsidRDefault="00C46888" w:rsidP="00AE2462">
      <w:pPr>
        <w:pStyle w:val="Heading3"/>
        <w:numPr>
          <w:ilvl w:val="0"/>
          <w:numId w:val="19"/>
        </w:numPr>
        <w:rPr>
          <w:lang w:val="en-US"/>
        </w:rPr>
      </w:pPr>
      <w:bookmarkStart w:id="8" w:name="_Toc505751498"/>
      <w:r>
        <w:rPr>
          <w:lang w:val="en-US"/>
        </w:rPr>
        <w:t xml:space="preserve">The </w:t>
      </w:r>
      <w:r w:rsidR="0036496C">
        <w:rPr>
          <w:lang w:val="en-US"/>
        </w:rPr>
        <w:t>C</w:t>
      </w:r>
      <w:r w:rsidR="00F80A6F">
        <w:rPr>
          <w:lang w:val="en-US"/>
        </w:rPr>
        <w:t xml:space="preserve">onnection between </w:t>
      </w:r>
      <w:r w:rsidR="0036496C">
        <w:rPr>
          <w:lang w:val="en-US"/>
        </w:rPr>
        <w:t>A</w:t>
      </w:r>
      <w:r w:rsidR="00F80A6F">
        <w:rPr>
          <w:lang w:val="en-US"/>
        </w:rPr>
        <w:t>ccessibility</w:t>
      </w:r>
      <w:r w:rsidR="0036496C">
        <w:rPr>
          <w:lang w:val="en-US"/>
        </w:rPr>
        <w:t xml:space="preserve"> S</w:t>
      </w:r>
      <w:r w:rsidR="00AE2462">
        <w:rPr>
          <w:lang w:val="en-US"/>
        </w:rPr>
        <w:t>tandards</w:t>
      </w:r>
      <w:r w:rsidR="00F80A6F">
        <w:rPr>
          <w:lang w:val="en-US"/>
        </w:rPr>
        <w:t xml:space="preserve"> and </w:t>
      </w:r>
      <w:r w:rsidR="0036496C">
        <w:rPr>
          <w:lang w:val="en-US"/>
        </w:rPr>
        <w:t>Antidiscrimination L</w:t>
      </w:r>
      <w:r w:rsidR="00F80A6F">
        <w:rPr>
          <w:lang w:val="en-US"/>
        </w:rPr>
        <w:t>aw</w:t>
      </w:r>
      <w:bookmarkEnd w:id="8"/>
    </w:p>
    <w:p w:rsidR="00284D40" w:rsidRPr="00284D40" w:rsidRDefault="00284D40" w:rsidP="00284D40">
      <w:pPr>
        <w:rPr>
          <w:lang w:val="en-US"/>
        </w:rPr>
      </w:pPr>
    </w:p>
    <w:p w:rsidR="00B21C28" w:rsidRDefault="00AE2462" w:rsidP="00991E20">
      <w:pPr>
        <w:autoSpaceDE w:val="0"/>
        <w:autoSpaceDN w:val="0"/>
        <w:adjustRightInd w:val="0"/>
        <w:jc w:val="both"/>
        <w:rPr>
          <w:lang w:val="en-US"/>
        </w:rPr>
      </w:pPr>
      <w:r>
        <w:rPr>
          <w:lang w:val="en-US"/>
        </w:rPr>
        <w:t xml:space="preserve">There are at least two types of accessibility standard: a) standards that are established independent of antidiscrimination legislation </w:t>
      </w:r>
      <w:r w:rsidR="00987272">
        <w:rPr>
          <w:lang w:val="en-US"/>
        </w:rPr>
        <w:t xml:space="preserve">but </w:t>
      </w:r>
      <w:r>
        <w:rPr>
          <w:lang w:val="en-US"/>
        </w:rPr>
        <w:t xml:space="preserve">depend on antidiscrimination legal concepts and b) </w:t>
      </w:r>
      <w:r w:rsidR="00AA3BD8">
        <w:rPr>
          <w:lang w:val="en-US"/>
        </w:rPr>
        <w:t xml:space="preserve">accessibility standards that are created within an antidiscrimination legal regulatory framework.  </w:t>
      </w:r>
      <w:r w:rsidR="00F510C9">
        <w:rPr>
          <w:lang w:val="en-US"/>
        </w:rPr>
        <w:t xml:space="preserve">With regard to the first type </w:t>
      </w:r>
      <w:r w:rsidR="00E043DC">
        <w:rPr>
          <w:lang w:val="en-US"/>
        </w:rPr>
        <w:t>of</w:t>
      </w:r>
      <w:r w:rsidR="00F510C9">
        <w:rPr>
          <w:lang w:val="en-US"/>
        </w:rPr>
        <w:t xml:space="preserve"> </w:t>
      </w:r>
      <w:r w:rsidR="00C14ECE">
        <w:rPr>
          <w:lang w:val="en-US"/>
        </w:rPr>
        <w:t>accessibility standard</w:t>
      </w:r>
      <w:r w:rsidR="00F510C9">
        <w:rPr>
          <w:lang w:val="en-US"/>
        </w:rPr>
        <w:t>,</w:t>
      </w:r>
      <w:r w:rsidR="00E043DC" w:rsidRPr="00E043DC">
        <w:rPr>
          <w:lang w:val="en-US"/>
        </w:rPr>
        <w:t xml:space="preserve"> </w:t>
      </w:r>
      <w:r w:rsidR="00E043DC">
        <w:rPr>
          <w:lang w:val="en-US"/>
        </w:rPr>
        <w:t xml:space="preserve">Canada has </w:t>
      </w:r>
      <w:r w:rsidR="00D5743F">
        <w:rPr>
          <w:lang w:val="en-US"/>
        </w:rPr>
        <w:t xml:space="preserve">now </w:t>
      </w:r>
      <w:r w:rsidR="00E043DC">
        <w:rPr>
          <w:lang w:val="en-US"/>
        </w:rPr>
        <w:t>developed a</w:t>
      </w:r>
      <w:r w:rsidR="00987272">
        <w:rPr>
          <w:lang w:val="en-US"/>
        </w:rPr>
        <w:t xml:space="preserve"> unique and </w:t>
      </w:r>
      <w:r w:rsidR="00E043DC">
        <w:rPr>
          <w:lang w:val="en-US"/>
        </w:rPr>
        <w:t xml:space="preserve">robust culture of standard-setting as a proactive means of combating disability discrimination. This can be seen </w:t>
      </w:r>
      <w:r w:rsidR="00F510C9">
        <w:rPr>
          <w:lang w:val="en-US"/>
        </w:rPr>
        <w:t xml:space="preserve">through </w:t>
      </w:r>
      <w:r w:rsidR="00AA3BD8">
        <w:rPr>
          <w:lang w:val="en-US"/>
        </w:rPr>
        <w:t xml:space="preserve">the </w:t>
      </w:r>
      <w:r w:rsidR="00AA3BD8" w:rsidRPr="00E043DC">
        <w:rPr>
          <w:i/>
          <w:lang w:val="en-US"/>
        </w:rPr>
        <w:t>Ontarians with Disabilities Act</w:t>
      </w:r>
      <w:r w:rsidR="006F2B44" w:rsidRPr="006F2B44">
        <w:rPr>
          <w:rStyle w:val="FootnoteReference"/>
          <w:lang w:val="en-US"/>
        </w:rPr>
        <w:footnoteReference w:id="23"/>
      </w:r>
      <w:r w:rsidR="00AA3BD8">
        <w:rPr>
          <w:lang w:val="en-US"/>
        </w:rPr>
        <w:t xml:space="preserve">, the </w:t>
      </w:r>
      <w:r w:rsidR="00E043DC" w:rsidRPr="00991E20">
        <w:rPr>
          <w:i/>
          <w:lang w:val="en-US"/>
        </w:rPr>
        <w:t>A</w:t>
      </w:r>
      <w:r w:rsidR="00AA3BD8" w:rsidRPr="00991E20">
        <w:rPr>
          <w:i/>
          <w:lang w:val="en-US"/>
        </w:rPr>
        <w:t>ccessibility for Ontarians with Disabilities Act</w:t>
      </w:r>
      <w:r w:rsidR="00AA3BD8">
        <w:rPr>
          <w:lang w:val="en-US"/>
        </w:rPr>
        <w:t>,</w:t>
      </w:r>
      <w:r w:rsidR="001F0B4C">
        <w:rPr>
          <w:lang w:val="en-US"/>
        </w:rPr>
        <w:t xml:space="preserve"> </w:t>
      </w:r>
      <w:r w:rsidR="003807E5">
        <w:rPr>
          <w:i/>
          <w:lang w:val="en-US"/>
        </w:rPr>
        <w:t>2005</w:t>
      </w:r>
      <w:r w:rsidR="003807E5" w:rsidRPr="00790857">
        <w:rPr>
          <w:rStyle w:val="FootnoteReference"/>
          <w:lang w:val="en-US"/>
        </w:rPr>
        <w:footnoteReference w:id="24"/>
      </w:r>
      <w:r w:rsidR="00AA3BD8">
        <w:rPr>
          <w:lang w:val="en-US"/>
        </w:rPr>
        <w:t xml:space="preserve"> the</w:t>
      </w:r>
      <w:r w:rsidR="007D1DB1">
        <w:rPr>
          <w:lang w:val="en-US"/>
        </w:rPr>
        <w:t xml:space="preserve"> </w:t>
      </w:r>
      <w:r w:rsidR="007D1DB1" w:rsidRPr="007D1DB1">
        <w:rPr>
          <w:i/>
          <w:lang w:val="en-US"/>
        </w:rPr>
        <w:t>Accessibility for Manitobans A</w:t>
      </w:r>
      <w:r w:rsidR="00AA3BD8" w:rsidRPr="007D1DB1">
        <w:rPr>
          <w:i/>
          <w:lang w:val="en-US"/>
        </w:rPr>
        <w:t>ct</w:t>
      </w:r>
      <w:r w:rsidR="001F0B4C" w:rsidRPr="001F0B4C">
        <w:rPr>
          <w:rStyle w:val="FootnoteReference"/>
          <w:lang w:val="en-US"/>
        </w:rPr>
        <w:footnoteReference w:id="25"/>
      </w:r>
      <w:r w:rsidR="00AA3BD8" w:rsidRPr="007D1DB1">
        <w:rPr>
          <w:i/>
          <w:lang w:val="en-US"/>
        </w:rPr>
        <w:t xml:space="preserve"> </w:t>
      </w:r>
      <w:r w:rsidR="00AA3BD8">
        <w:rPr>
          <w:lang w:val="en-US"/>
        </w:rPr>
        <w:t xml:space="preserve">and </w:t>
      </w:r>
      <w:r w:rsidR="00F510C9" w:rsidRPr="001F0B4C">
        <w:rPr>
          <w:lang w:val="en-US"/>
        </w:rPr>
        <w:t>Nova Scotia</w:t>
      </w:r>
      <w:r w:rsidR="001F0B4C">
        <w:rPr>
          <w:lang w:val="en-US"/>
        </w:rPr>
        <w:t xml:space="preserve">’s </w:t>
      </w:r>
      <w:r w:rsidR="001F0B4C" w:rsidRPr="007D1DB1">
        <w:rPr>
          <w:i/>
          <w:lang w:val="en-US"/>
        </w:rPr>
        <w:t>Accessibility Act</w:t>
      </w:r>
      <w:r w:rsidR="001F0B4C" w:rsidRPr="00894846">
        <w:rPr>
          <w:rStyle w:val="FootnoteReference"/>
          <w:lang w:val="en-US"/>
        </w:rPr>
        <w:footnoteReference w:id="26"/>
      </w:r>
      <w:r w:rsidR="00E043DC" w:rsidRPr="00894846">
        <w:rPr>
          <w:lang w:val="en-US"/>
        </w:rPr>
        <w:t>.</w:t>
      </w:r>
      <w:r w:rsidR="00E043DC">
        <w:rPr>
          <w:lang w:val="en-US"/>
        </w:rPr>
        <w:t xml:space="preserve"> The accessibility legislation established in these three provinces has been designed</w:t>
      </w:r>
      <w:r w:rsidR="009A0094">
        <w:rPr>
          <w:lang w:val="en-US"/>
        </w:rPr>
        <w:t xml:space="preserve"> as a distinct regime that enable</w:t>
      </w:r>
      <w:r w:rsidR="00987272">
        <w:rPr>
          <w:lang w:val="en-US"/>
        </w:rPr>
        <w:t>s</w:t>
      </w:r>
      <w:r w:rsidR="009A0094">
        <w:rPr>
          <w:lang w:val="en-US"/>
        </w:rPr>
        <w:t xml:space="preserve"> persons with disabilities to have a voice in creating the accessibility standards. These statutes </w:t>
      </w:r>
      <w:r w:rsidR="00F16593">
        <w:rPr>
          <w:lang w:val="en-US"/>
        </w:rPr>
        <w:t>include</w:t>
      </w:r>
      <w:r w:rsidR="009A0094">
        <w:rPr>
          <w:lang w:val="en-US"/>
        </w:rPr>
        <w:t xml:space="preserve"> people with disabilities in the design of the future of the province </w:t>
      </w:r>
      <w:r w:rsidR="00DB7234">
        <w:rPr>
          <w:lang w:val="en-US"/>
        </w:rPr>
        <w:t>through</w:t>
      </w:r>
      <w:r w:rsidR="009A0094">
        <w:rPr>
          <w:lang w:val="en-US"/>
        </w:rPr>
        <w:t xml:space="preserve"> a consultative framework that brings </w:t>
      </w:r>
      <w:r w:rsidR="00D5743F">
        <w:rPr>
          <w:lang w:val="en-US"/>
        </w:rPr>
        <w:t>those</w:t>
      </w:r>
      <w:r w:rsidR="009A0094">
        <w:rPr>
          <w:lang w:val="en-US"/>
        </w:rPr>
        <w:t xml:space="preserve"> who will be affected by the ultimate standards</w:t>
      </w:r>
      <w:r w:rsidR="0088552D" w:rsidRPr="0088552D">
        <w:rPr>
          <w:lang w:val="en-US"/>
        </w:rPr>
        <w:t xml:space="preserve"> </w:t>
      </w:r>
      <w:r w:rsidR="0088552D">
        <w:rPr>
          <w:lang w:val="en-US"/>
        </w:rPr>
        <w:t>to the table as well</w:t>
      </w:r>
      <w:r w:rsidR="009A0094">
        <w:rPr>
          <w:lang w:val="en-US"/>
        </w:rPr>
        <w:t xml:space="preserve">. </w:t>
      </w:r>
      <w:r w:rsidR="00991E20">
        <w:rPr>
          <w:lang w:val="en-US"/>
        </w:rPr>
        <w:t>Typically</w:t>
      </w:r>
      <w:r w:rsidR="0088552D">
        <w:rPr>
          <w:lang w:val="en-US"/>
        </w:rPr>
        <w:t>,</w:t>
      </w:r>
      <w:r w:rsidR="00991E20">
        <w:rPr>
          <w:lang w:val="en-US"/>
        </w:rPr>
        <w:t xml:space="preserve"> the accessibility legislation cross-references the human rights legislation </w:t>
      </w:r>
      <w:r w:rsidR="0037758F">
        <w:rPr>
          <w:lang w:val="en-US"/>
        </w:rPr>
        <w:t xml:space="preserve">(the antidiscrimination legislation) </w:t>
      </w:r>
      <w:r w:rsidR="00F16593">
        <w:rPr>
          <w:lang w:val="en-US"/>
        </w:rPr>
        <w:t>of</w:t>
      </w:r>
      <w:r w:rsidR="00991E20">
        <w:rPr>
          <w:lang w:val="en-US"/>
        </w:rPr>
        <w:t xml:space="preserve"> the province. At the very least, </w:t>
      </w:r>
      <w:r w:rsidR="00F16593">
        <w:rPr>
          <w:lang w:val="en-US"/>
        </w:rPr>
        <w:t xml:space="preserve">in its preamble, </w:t>
      </w:r>
      <w:r w:rsidR="0088552D">
        <w:rPr>
          <w:lang w:val="en-US"/>
        </w:rPr>
        <w:t>the accessibility legislation identifies</w:t>
      </w:r>
      <w:r w:rsidR="00991E20">
        <w:rPr>
          <w:lang w:val="en-US"/>
        </w:rPr>
        <w:t xml:space="preserve"> the human rights legislation </w:t>
      </w:r>
      <w:r w:rsidR="0088552D">
        <w:rPr>
          <w:lang w:val="en-US"/>
        </w:rPr>
        <w:t xml:space="preserve">as one </w:t>
      </w:r>
      <w:r w:rsidR="00991E20">
        <w:rPr>
          <w:lang w:val="en-US"/>
        </w:rPr>
        <w:t>of the foundational human rights law</w:t>
      </w:r>
      <w:r w:rsidR="0088552D">
        <w:rPr>
          <w:lang w:val="en-US"/>
        </w:rPr>
        <w:t>s</w:t>
      </w:r>
      <w:r w:rsidR="00991E20">
        <w:rPr>
          <w:lang w:val="en-US"/>
        </w:rPr>
        <w:t xml:space="preserve"> respected in</w:t>
      </w:r>
      <w:r w:rsidR="0088552D">
        <w:rPr>
          <w:lang w:val="en-US"/>
        </w:rPr>
        <w:t xml:space="preserve"> its regime</w:t>
      </w:r>
      <w:r w:rsidR="00991E20">
        <w:rPr>
          <w:lang w:val="en-US"/>
        </w:rPr>
        <w:t xml:space="preserve">. </w:t>
      </w:r>
      <w:r w:rsidR="00191DC9">
        <w:rPr>
          <w:lang w:val="en-US"/>
        </w:rPr>
        <w:t xml:space="preserve">The accessibility legislation also </w:t>
      </w:r>
      <w:r w:rsidR="00BF47CA">
        <w:rPr>
          <w:lang w:val="en-US"/>
        </w:rPr>
        <w:t xml:space="preserve">generally </w:t>
      </w:r>
      <w:r w:rsidR="00991E20">
        <w:rPr>
          <w:lang w:val="en-US"/>
        </w:rPr>
        <w:t xml:space="preserve">focuses on the same social areas as the human rights legislation. </w:t>
      </w:r>
      <w:r w:rsidR="0088552D">
        <w:rPr>
          <w:lang w:val="en-US"/>
        </w:rPr>
        <w:t>Finally</w:t>
      </w:r>
      <w:r w:rsidR="00991E20">
        <w:rPr>
          <w:lang w:val="en-US"/>
        </w:rPr>
        <w:t xml:space="preserve">, there is </w:t>
      </w:r>
      <w:r w:rsidR="00BF47CA">
        <w:rPr>
          <w:lang w:val="en-US"/>
        </w:rPr>
        <w:t xml:space="preserve">usually </w:t>
      </w:r>
      <w:r w:rsidR="00191DC9">
        <w:rPr>
          <w:lang w:val="en-US"/>
        </w:rPr>
        <w:t xml:space="preserve">a </w:t>
      </w:r>
      <w:r w:rsidR="00991E20">
        <w:rPr>
          <w:lang w:val="en-US"/>
        </w:rPr>
        <w:t>provision in the statute that references</w:t>
      </w:r>
      <w:r w:rsidR="00A650CB">
        <w:rPr>
          <w:lang w:val="en-US"/>
        </w:rPr>
        <w:t>,</w:t>
      </w:r>
      <w:r w:rsidR="00991E20">
        <w:rPr>
          <w:lang w:val="en-US"/>
        </w:rPr>
        <w:t xml:space="preserve"> either explicitly or implicitly</w:t>
      </w:r>
      <w:r w:rsidR="00A650CB">
        <w:rPr>
          <w:lang w:val="en-US"/>
        </w:rPr>
        <w:t>,</w:t>
      </w:r>
      <w:r w:rsidR="00991E20">
        <w:rPr>
          <w:lang w:val="en-US"/>
        </w:rPr>
        <w:t xml:space="preserve"> </w:t>
      </w:r>
      <w:r w:rsidR="0088552D">
        <w:rPr>
          <w:lang w:val="en-US"/>
        </w:rPr>
        <w:t xml:space="preserve">the relationship between the two laws </w:t>
      </w:r>
      <w:r w:rsidR="00991E20">
        <w:rPr>
          <w:lang w:val="en-US"/>
        </w:rPr>
        <w:t xml:space="preserve">by </w:t>
      </w:r>
      <w:r w:rsidR="00A650CB">
        <w:rPr>
          <w:lang w:val="en-US"/>
        </w:rPr>
        <w:t>indicating</w:t>
      </w:r>
      <w:r w:rsidR="0088552D">
        <w:rPr>
          <w:lang w:val="en-US"/>
        </w:rPr>
        <w:t xml:space="preserve"> that </w:t>
      </w:r>
      <w:r w:rsidR="00991E20">
        <w:rPr>
          <w:lang w:val="en-US"/>
        </w:rPr>
        <w:t>protection under the human rights legislation</w:t>
      </w:r>
      <w:r w:rsidR="0088552D">
        <w:rPr>
          <w:lang w:val="en-US"/>
        </w:rPr>
        <w:t xml:space="preserve"> of the province, i</w:t>
      </w:r>
      <w:r w:rsidR="00991E20">
        <w:rPr>
          <w:lang w:val="en-US"/>
        </w:rPr>
        <w:t>f greater than the protection under the accessibility legislation</w:t>
      </w:r>
      <w:r w:rsidR="0088552D">
        <w:rPr>
          <w:lang w:val="en-US"/>
        </w:rPr>
        <w:t>,</w:t>
      </w:r>
      <w:r w:rsidR="00991E20">
        <w:rPr>
          <w:lang w:val="en-US"/>
        </w:rPr>
        <w:t xml:space="preserve"> will be accorded to the individual seeking the benefit of the law.</w:t>
      </w:r>
      <w:r w:rsidR="009D27F7">
        <w:rPr>
          <w:rStyle w:val="FootnoteReference"/>
          <w:lang w:val="en-US"/>
        </w:rPr>
        <w:footnoteReference w:id="27"/>
      </w:r>
      <w:r w:rsidR="00991E20">
        <w:rPr>
          <w:lang w:val="en-US"/>
        </w:rPr>
        <w:t xml:space="preserve"> </w:t>
      </w:r>
    </w:p>
    <w:p w:rsidR="00421CA1" w:rsidRDefault="0088552D" w:rsidP="00991E20">
      <w:pPr>
        <w:autoSpaceDE w:val="0"/>
        <w:autoSpaceDN w:val="0"/>
        <w:adjustRightInd w:val="0"/>
        <w:jc w:val="both"/>
        <w:rPr>
          <w:lang w:val="en-US"/>
        </w:rPr>
      </w:pPr>
      <w:r>
        <w:rPr>
          <w:lang w:val="en-US"/>
        </w:rPr>
        <w:t xml:space="preserve">The second type of </w:t>
      </w:r>
      <w:r w:rsidR="007F2E97">
        <w:rPr>
          <w:lang w:val="en-US"/>
        </w:rPr>
        <w:t>accessibility</w:t>
      </w:r>
      <w:r>
        <w:rPr>
          <w:lang w:val="en-US"/>
        </w:rPr>
        <w:t xml:space="preserve"> standard</w:t>
      </w:r>
      <w:r w:rsidR="00DD011B">
        <w:rPr>
          <w:lang w:val="en-US"/>
        </w:rPr>
        <w:t xml:space="preserve"> </w:t>
      </w:r>
      <w:r w:rsidR="00BF47CA">
        <w:rPr>
          <w:lang w:val="en-US"/>
        </w:rPr>
        <w:t>is also</w:t>
      </w:r>
      <w:r w:rsidR="00DD011B">
        <w:rPr>
          <w:lang w:val="en-US"/>
        </w:rPr>
        <w:t xml:space="preserve"> proactive </w:t>
      </w:r>
      <w:r w:rsidR="00BF47CA">
        <w:rPr>
          <w:lang w:val="en-US"/>
        </w:rPr>
        <w:t xml:space="preserve">in </w:t>
      </w:r>
      <w:r w:rsidR="00DD011B">
        <w:rPr>
          <w:lang w:val="en-US"/>
        </w:rPr>
        <w:t xml:space="preserve">nature but is created within the framework of a reactive regulatory antidiscrimination regime. </w:t>
      </w:r>
      <w:r w:rsidR="00421CA1">
        <w:rPr>
          <w:lang w:val="en-US"/>
        </w:rPr>
        <w:t>E</w:t>
      </w:r>
      <w:r w:rsidR="00DD011B">
        <w:rPr>
          <w:lang w:val="en-US"/>
        </w:rPr>
        <w:t xml:space="preserve">xamples </w:t>
      </w:r>
      <w:r w:rsidR="00237930">
        <w:rPr>
          <w:lang w:val="en-US"/>
        </w:rPr>
        <w:t>are the</w:t>
      </w:r>
      <w:r w:rsidR="00BF47CA">
        <w:rPr>
          <w:lang w:val="en-US"/>
        </w:rPr>
        <w:t xml:space="preserve"> three disability</w:t>
      </w:r>
      <w:r w:rsidR="00237930">
        <w:rPr>
          <w:lang w:val="en-US"/>
        </w:rPr>
        <w:t xml:space="preserve"> </w:t>
      </w:r>
      <w:r w:rsidR="00DD011B">
        <w:rPr>
          <w:lang w:val="en-US"/>
        </w:rPr>
        <w:t>standards created under</w:t>
      </w:r>
      <w:r w:rsidR="00F80A6F">
        <w:rPr>
          <w:lang w:val="en-US"/>
        </w:rPr>
        <w:t xml:space="preserve"> the </w:t>
      </w:r>
      <w:r w:rsidR="00995782">
        <w:rPr>
          <w:lang w:val="en-US"/>
        </w:rPr>
        <w:t xml:space="preserve">Australian </w:t>
      </w:r>
      <w:r w:rsidR="00F80A6F" w:rsidRPr="00F80A6F">
        <w:rPr>
          <w:i/>
          <w:lang w:val="en-US"/>
        </w:rPr>
        <w:t>Disability Discrimination Act</w:t>
      </w:r>
      <w:r w:rsidR="00F80A6F">
        <w:rPr>
          <w:lang w:val="en-US"/>
        </w:rPr>
        <w:t xml:space="preserve"> </w:t>
      </w:r>
      <w:r w:rsidR="00BF47CA">
        <w:rPr>
          <w:rStyle w:val="FootnoteReference"/>
          <w:lang w:val="en-US"/>
        </w:rPr>
        <w:footnoteReference w:id="28"/>
      </w:r>
      <w:r w:rsidR="00421CA1">
        <w:rPr>
          <w:lang w:val="en-US"/>
        </w:rPr>
        <w:t xml:space="preserve"> </w:t>
      </w:r>
      <w:r w:rsidR="00DD011B">
        <w:rPr>
          <w:lang w:val="en-US"/>
        </w:rPr>
        <w:t>and standards created by the US Access Board under the auspices of the</w:t>
      </w:r>
      <w:r w:rsidR="00DD011B" w:rsidRPr="00F80A6F">
        <w:rPr>
          <w:i/>
          <w:lang w:val="en-US"/>
        </w:rPr>
        <w:t xml:space="preserve"> Americans with Disabilities Act</w:t>
      </w:r>
      <w:r w:rsidR="00DD011B">
        <w:rPr>
          <w:lang w:val="en-US"/>
        </w:rPr>
        <w:t>.</w:t>
      </w:r>
      <w:r w:rsidR="00BF47CA">
        <w:rPr>
          <w:lang w:val="en-US"/>
        </w:rPr>
        <w:t xml:space="preserve"> </w:t>
      </w:r>
    </w:p>
    <w:p w:rsidR="004C77C3" w:rsidRDefault="00152CDC" w:rsidP="00991E20">
      <w:pPr>
        <w:autoSpaceDE w:val="0"/>
        <w:autoSpaceDN w:val="0"/>
        <w:adjustRightInd w:val="0"/>
        <w:jc w:val="both"/>
        <w:rPr>
          <w:lang w:val="en-US"/>
        </w:rPr>
      </w:pPr>
      <w:r>
        <w:rPr>
          <w:lang w:val="en-US"/>
        </w:rPr>
        <w:t xml:space="preserve">Both types of standard present challenges on the ground. </w:t>
      </w:r>
      <w:r w:rsidR="00421CA1">
        <w:rPr>
          <w:lang w:val="en-US"/>
        </w:rPr>
        <w:t xml:space="preserve">One challenge is confusion by members of the public subject to the Act as to whether satisfying their obligations under the standards will equally satisfy their antidiscrimination obligations under human rights legislation. </w:t>
      </w:r>
      <w:r w:rsidR="00CF06CB">
        <w:rPr>
          <w:lang w:val="en-US"/>
        </w:rPr>
        <w:t xml:space="preserve">Certainly, in Ontario, </w:t>
      </w:r>
      <w:r w:rsidR="00421CA1">
        <w:rPr>
          <w:lang w:val="en-US"/>
        </w:rPr>
        <w:t xml:space="preserve">where standards are created independently of provincial human rights legislation, </w:t>
      </w:r>
      <w:r w:rsidR="00CF06CB">
        <w:rPr>
          <w:lang w:val="en-US"/>
        </w:rPr>
        <w:t xml:space="preserve">we have witnessed </w:t>
      </w:r>
      <w:r w:rsidR="00421CA1">
        <w:rPr>
          <w:lang w:val="en-US"/>
        </w:rPr>
        <w:t xml:space="preserve">this </w:t>
      </w:r>
      <w:r w:rsidR="00CF06CB">
        <w:rPr>
          <w:lang w:val="en-US"/>
        </w:rPr>
        <w:t xml:space="preserve">confusion by businesses </w:t>
      </w:r>
      <w:r w:rsidR="00BF47CA">
        <w:rPr>
          <w:lang w:val="en-US"/>
        </w:rPr>
        <w:t>and others</w:t>
      </w:r>
      <w:r w:rsidR="00CF06CB">
        <w:rPr>
          <w:lang w:val="en-US"/>
        </w:rPr>
        <w:t>.</w:t>
      </w:r>
      <w:r w:rsidR="00CF06CB">
        <w:rPr>
          <w:rStyle w:val="FootnoteReference"/>
          <w:lang w:val="en-US"/>
        </w:rPr>
        <w:footnoteReference w:id="29"/>
      </w:r>
      <w:r w:rsidR="00CF06CB">
        <w:rPr>
          <w:lang w:val="en-US"/>
        </w:rPr>
        <w:t xml:space="preserve"> </w:t>
      </w:r>
      <w:r w:rsidR="004C77C3" w:rsidRPr="00410F9F">
        <w:rPr>
          <w:lang w:val="en-US"/>
        </w:rPr>
        <w:t>I</w:t>
      </w:r>
      <w:r w:rsidR="00CF06CB" w:rsidRPr="00410F9F">
        <w:rPr>
          <w:lang w:val="en-US"/>
        </w:rPr>
        <w:t>nterestingly, this is not an unusual situation</w:t>
      </w:r>
      <w:r w:rsidR="009F0651" w:rsidRPr="00410F9F">
        <w:rPr>
          <w:lang w:val="en-US"/>
        </w:rPr>
        <w:t>.</w:t>
      </w:r>
      <w:r w:rsidR="00CF06CB">
        <w:rPr>
          <w:lang w:val="en-US"/>
        </w:rPr>
        <w:t xml:space="preserve"> </w:t>
      </w:r>
      <w:r w:rsidR="009F0651">
        <w:rPr>
          <w:lang w:val="en-US"/>
        </w:rPr>
        <w:t>L</w:t>
      </w:r>
      <w:r w:rsidR="00CF06CB">
        <w:rPr>
          <w:lang w:val="en-US"/>
        </w:rPr>
        <w:t>aw</w:t>
      </w:r>
      <w:r w:rsidR="004C77C3">
        <w:rPr>
          <w:lang w:val="en-US"/>
        </w:rPr>
        <w:t>s</w:t>
      </w:r>
      <w:r w:rsidR="00CF06CB">
        <w:rPr>
          <w:lang w:val="en-US"/>
        </w:rPr>
        <w:t xml:space="preserve"> such as the ADA also provid</w:t>
      </w:r>
      <w:r w:rsidR="00BF47CA">
        <w:rPr>
          <w:lang w:val="en-US"/>
        </w:rPr>
        <w:t>e</w:t>
      </w:r>
      <w:r w:rsidR="00CF06CB">
        <w:rPr>
          <w:lang w:val="en-US"/>
        </w:rPr>
        <w:t xml:space="preserve"> that </w:t>
      </w:r>
      <w:r w:rsidR="009F0651">
        <w:rPr>
          <w:lang w:val="en-US"/>
        </w:rPr>
        <w:t>those receiving the benefit of the statute may</w:t>
      </w:r>
      <w:r w:rsidR="00BF47CA">
        <w:rPr>
          <w:lang w:val="en-US"/>
        </w:rPr>
        <w:t xml:space="preserve"> </w:t>
      </w:r>
      <w:r w:rsidR="009F0651">
        <w:rPr>
          <w:lang w:val="en-US"/>
        </w:rPr>
        <w:t>avail</w:t>
      </w:r>
      <w:r w:rsidR="00BF47CA">
        <w:rPr>
          <w:lang w:val="en-US"/>
        </w:rPr>
        <w:t xml:space="preserve"> </w:t>
      </w:r>
      <w:r w:rsidR="009F0651">
        <w:rPr>
          <w:lang w:val="en-US"/>
        </w:rPr>
        <w:t xml:space="preserve">themselves </w:t>
      </w:r>
      <w:r w:rsidR="00BF47CA">
        <w:rPr>
          <w:lang w:val="en-US"/>
        </w:rPr>
        <w:t>o</w:t>
      </w:r>
      <w:r w:rsidR="00CF06CB">
        <w:rPr>
          <w:lang w:val="en-US"/>
        </w:rPr>
        <w:t xml:space="preserve">f greater </w:t>
      </w:r>
      <w:r w:rsidR="0097609E">
        <w:rPr>
          <w:lang w:val="en-US"/>
        </w:rPr>
        <w:t xml:space="preserve">legal </w:t>
      </w:r>
      <w:r w:rsidR="00CF06CB">
        <w:rPr>
          <w:lang w:val="en-US"/>
        </w:rPr>
        <w:t xml:space="preserve">protections if </w:t>
      </w:r>
      <w:r w:rsidR="0097609E">
        <w:rPr>
          <w:lang w:val="en-US"/>
        </w:rPr>
        <w:t>such protection is</w:t>
      </w:r>
      <w:r w:rsidR="00CF06CB">
        <w:rPr>
          <w:lang w:val="en-US"/>
        </w:rPr>
        <w:t xml:space="preserve"> provided under another law applicable in th</w:t>
      </w:r>
      <w:r w:rsidR="0097609E">
        <w:rPr>
          <w:lang w:val="en-US"/>
        </w:rPr>
        <w:t>e</w:t>
      </w:r>
      <w:r w:rsidR="00CF06CB">
        <w:rPr>
          <w:lang w:val="en-US"/>
        </w:rPr>
        <w:t xml:space="preserve"> jurisdiction.</w:t>
      </w:r>
      <w:r w:rsidR="00CF06CB">
        <w:rPr>
          <w:rStyle w:val="FootnoteReference"/>
          <w:lang w:val="en-US"/>
        </w:rPr>
        <w:footnoteReference w:id="30"/>
      </w:r>
      <w:r w:rsidR="00CF06CB">
        <w:rPr>
          <w:lang w:val="en-US"/>
        </w:rPr>
        <w:t xml:space="preserve"> A useful s</w:t>
      </w:r>
      <w:r w:rsidR="00CE0CD6">
        <w:rPr>
          <w:lang w:val="en-US"/>
        </w:rPr>
        <w:t xml:space="preserve">uggestion for </w:t>
      </w:r>
      <w:r w:rsidR="0097609E">
        <w:rPr>
          <w:lang w:val="en-US"/>
        </w:rPr>
        <w:t>addressing this confusion</w:t>
      </w:r>
      <w:r w:rsidR="00CE0CD6">
        <w:rPr>
          <w:lang w:val="en-US"/>
        </w:rPr>
        <w:t xml:space="preserve"> is</w:t>
      </w:r>
      <w:r w:rsidR="00CF06CB">
        <w:rPr>
          <w:lang w:val="en-US"/>
        </w:rPr>
        <w:t xml:space="preserve"> to provide </w:t>
      </w:r>
      <w:r w:rsidR="004C77C3">
        <w:rPr>
          <w:lang w:val="en-US"/>
        </w:rPr>
        <w:t>funding for information centr</w:t>
      </w:r>
      <w:r w:rsidR="00163E89">
        <w:rPr>
          <w:lang w:val="en-US"/>
        </w:rPr>
        <w:t>e</w:t>
      </w:r>
      <w:r w:rsidR="004C77C3">
        <w:rPr>
          <w:lang w:val="en-US"/>
        </w:rPr>
        <w:t xml:space="preserve">s that can be set up to </w:t>
      </w:r>
      <w:r w:rsidR="0019021B">
        <w:rPr>
          <w:lang w:val="en-US"/>
        </w:rPr>
        <w:t>offer</w:t>
      </w:r>
      <w:r w:rsidR="004C77C3">
        <w:rPr>
          <w:lang w:val="en-US"/>
        </w:rPr>
        <w:t xml:space="preserve"> the </w:t>
      </w:r>
      <w:r w:rsidR="00F4039B">
        <w:rPr>
          <w:lang w:val="en-US"/>
        </w:rPr>
        <w:t xml:space="preserve">general </w:t>
      </w:r>
      <w:r w:rsidR="00421CA1">
        <w:rPr>
          <w:lang w:val="en-US"/>
        </w:rPr>
        <w:t>public</w:t>
      </w:r>
      <w:r w:rsidR="0097609E">
        <w:rPr>
          <w:lang w:val="en-US"/>
        </w:rPr>
        <w:t>,</w:t>
      </w:r>
      <w:r w:rsidR="004C77C3">
        <w:rPr>
          <w:lang w:val="en-US"/>
        </w:rPr>
        <w:t xml:space="preserve"> businesses</w:t>
      </w:r>
      <w:r w:rsidR="0097609E">
        <w:rPr>
          <w:lang w:val="en-US"/>
        </w:rPr>
        <w:t xml:space="preserve"> and others</w:t>
      </w:r>
      <w:r w:rsidR="004C77C3">
        <w:rPr>
          <w:lang w:val="en-US"/>
        </w:rPr>
        <w:t xml:space="preserve"> who will be subject to the regulations with information on how to comply. The advantage of these information centr</w:t>
      </w:r>
      <w:r w:rsidR="00163E89">
        <w:rPr>
          <w:lang w:val="en-US"/>
        </w:rPr>
        <w:t>e</w:t>
      </w:r>
      <w:r w:rsidR="004C77C3">
        <w:rPr>
          <w:lang w:val="en-US"/>
        </w:rPr>
        <w:t xml:space="preserve">s is that those affected by the standards </w:t>
      </w:r>
      <w:r w:rsidR="0097609E">
        <w:rPr>
          <w:lang w:val="en-US"/>
        </w:rPr>
        <w:t>can</w:t>
      </w:r>
      <w:r w:rsidR="004C77C3">
        <w:rPr>
          <w:lang w:val="en-US"/>
        </w:rPr>
        <w:t xml:space="preserve"> ask questions and explore options for compliance without revealing themselves to the government regulator.</w:t>
      </w:r>
      <w:r w:rsidR="00B74DE8">
        <w:rPr>
          <w:rStyle w:val="FootnoteReference"/>
          <w:lang w:val="en-US"/>
        </w:rPr>
        <w:footnoteReference w:id="31"/>
      </w:r>
      <w:r w:rsidR="004C77C3">
        <w:rPr>
          <w:lang w:val="en-US"/>
        </w:rPr>
        <w:t xml:space="preserve"> </w:t>
      </w:r>
    </w:p>
    <w:p w:rsidR="00E01089" w:rsidRDefault="00E10CEE" w:rsidP="00E01089">
      <w:pPr>
        <w:autoSpaceDE w:val="0"/>
        <w:autoSpaceDN w:val="0"/>
        <w:adjustRightInd w:val="0"/>
        <w:jc w:val="both"/>
        <w:rPr>
          <w:lang w:val="en-US"/>
        </w:rPr>
      </w:pPr>
      <w:r>
        <w:t>Another</w:t>
      </w:r>
      <w:r w:rsidR="00E01089">
        <w:t xml:space="preserve"> difficulty</w:t>
      </w:r>
      <w:r>
        <w:t>,</w:t>
      </w:r>
      <w:r w:rsidR="00E01089">
        <w:t xml:space="preserve"> </w:t>
      </w:r>
      <w:r>
        <w:t>which</w:t>
      </w:r>
      <w:r w:rsidR="00E01089">
        <w:t xml:space="preserve"> arises with the second type of </w:t>
      </w:r>
      <w:r w:rsidR="00C14ECE">
        <w:t>accessibility standard</w:t>
      </w:r>
      <w:r>
        <w:t>,</w:t>
      </w:r>
      <w:r w:rsidR="00E01089">
        <w:t xml:space="preserve"> is confusion over the role of the standards themselves. In Australia, case law interpreting the standards ha</w:t>
      </w:r>
      <w:r w:rsidR="00AB0A00">
        <w:t>s</w:t>
      </w:r>
      <w:r w:rsidR="00E01089">
        <w:t xml:space="preserve"> unfortunately not shown the standards to </w:t>
      </w:r>
      <w:r w:rsidR="00AB0A00">
        <w:t>bear</w:t>
      </w:r>
      <w:r w:rsidR="00E01089">
        <w:t xml:space="preserve"> enough weight to set </w:t>
      </w:r>
      <w:r>
        <w:t>a</w:t>
      </w:r>
      <w:r w:rsidR="00E01089">
        <w:t xml:space="preserve"> path for interpreting the broader antidiscrimination legislation. Indeed, </w:t>
      </w:r>
      <w:r w:rsidR="00AB0A00">
        <w:t>al</w:t>
      </w:r>
      <w:r w:rsidR="00E01089">
        <w:t xml:space="preserve">though there are </w:t>
      </w:r>
      <w:r w:rsidR="00AB0A00">
        <w:t xml:space="preserve">only a </w:t>
      </w:r>
      <w:r w:rsidR="00E01089">
        <w:t xml:space="preserve">few cases, decisions such as </w:t>
      </w:r>
      <w:r w:rsidR="00E01089" w:rsidRPr="00AD7BE4">
        <w:rPr>
          <w:i/>
        </w:rPr>
        <w:t>Haraksin v Murrays Australia Limited (No 2)</w:t>
      </w:r>
      <w:r w:rsidR="00E01089" w:rsidRPr="000C0BEA">
        <w:rPr>
          <w:rStyle w:val="FootnoteReference"/>
        </w:rPr>
        <w:footnoteReference w:id="32"/>
      </w:r>
      <w:r w:rsidR="00E01089">
        <w:t xml:space="preserve"> show that breach of the standards do not even count as a definitive violation of the disability discrimination law. Furthermore, debate has arisen in the Australian context as to whether the standards can ever be understood to go beyond the scope of the current discrimination law that enables them. Adopting the idea of placing regulatory standards within antidiscrimination law could provide similar limitations, restricting innovation in the development of future legal standards.</w:t>
      </w:r>
    </w:p>
    <w:p w:rsidR="00152CDC" w:rsidRDefault="00152CDC" w:rsidP="00F4039B">
      <w:pPr>
        <w:autoSpaceDE w:val="0"/>
        <w:autoSpaceDN w:val="0"/>
        <w:adjustRightInd w:val="0"/>
        <w:jc w:val="both"/>
        <w:rPr>
          <w:lang w:val="en-US"/>
        </w:rPr>
      </w:pPr>
      <w:r>
        <w:rPr>
          <w:lang w:val="en-US"/>
        </w:rPr>
        <w:t>However,</w:t>
      </w:r>
      <w:r w:rsidR="004C77C3">
        <w:rPr>
          <w:lang w:val="en-US"/>
        </w:rPr>
        <w:t xml:space="preserve"> the second type of </w:t>
      </w:r>
      <w:r w:rsidR="00C14ECE">
        <w:rPr>
          <w:lang w:val="en-US"/>
        </w:rPr>
        <w:t>accessibility standard</w:t>
      </w:r>
      <w:r w:rsidR="004C77C3">
        <w:rPr>
          <w:lang w:val="en-US"/>
        </w:rPr>
        <w:t xml:space="preserve"> </w:t>
      </w:r>
      <w:r w:rsidR="00D43260">
        <w:rPr>
          <w:lang w:val="en-US"/>
        </w:rPr>
        <w:t>comes with</w:t>
      </w:r>
      <w:r w:rsidR="004C77C3">
        <w:rPr>
          <w:lang w:val="en-US"/>
        </w:rPr>
        <w:t xml:space="preserve"> </w:t>
      </w:r>
      <w:r w:rsidR="00F4039B">
        <w:rPr>
          <w:lang w:val="en-US"/>
        </w:rPr>
        <w:t xml:space="preserve">an </w:t>
      </w:r>
      <w:r w:rsidR="004C77C3">
        <w:rPr>
          <w:lang w:val="en-US"/>
        </w:rPr>
        <w:t xml:space="preserve">even </w:t>
      </w:r>
      <w:r w:rsidR="00F4039B">
        <w:rPr>
          <w:lang w:val="en-US"/>
        </w:rPr>
        <w:t xml:space="preserve">greater difficulty. </w:t>
      </w:r>
      <w:r>
        <w:rPr>
          <w:lang w:val="en-US"/>
        </w:rPr>
        <w:t xml:space="preserve"> </w:t>
      </w:r>
      <w:r w:rsidR="00F4039B">
        <w:rPr>
          <w:lang w:val="en-US"/>
        </w:rPr>
        <w:t>H</w:t>
      </w:r>
      <w:r>
        <w:rPr>
          <w:lang w:val="en-US"/>
        </w:rPr>
        <w:t>oused within a reactive regulatory system</w:t>
      </w:r>
      <w:r w:rsidR="00F4039B">
        <w:rPr>
          <w:lang w:val="en-US"/>
        </w:rPr>
        <w:t xml:space="preserve">, the second type of </w:t>
      </w:r>
      <w:r w:rsidR="00C14ECE">
        <w:rPr>
          <w:lang w:val="en-US"/>
        </w:rPr>
        <w:t>accessibility standard</w:t>
      </w:r>
      <w:r w:rsidR="00F4039B">
        <w:rPr>
          <w:lang w:val="en-US"/>
        </w:rPr>
        <w:t xml:space="preserve"> </w:t>
      </w:r>
      <w:r>
        <w:rPr>
          <w:lang w:val="en-US"/>
        </w:rPr>
        <w:t>presents a confusing regulatory landscape which may not be well received by the disability community or the government officials tasked with running it.</w:t>
      </w:r>
      <w:r w:rsidR="00CD16B4">
        <w:rPr>
          <w:lang w:val="en-US"/>
        </w:rPr>
        <w:t xml:space="preserve"> </w:t>
      </w:r>
      <w:r w:rsidR="00F4039B">
        <w:rPr>
          <w:lang w:val="en-US"/>
        </w:rPr>
        <w:t>The purpose of the social movement toward accessibility standards legislation was to establish a distinct</w:t>
      </w:r>
      <w:r w:rsidR="00D43260">
        <w:rPr>
          <w:lang w:val="en-US"/>
        </w:rPr>
        <w:t>,</w:t>
      </w:r>
      <w:r w:rsidR="00F4039B">
        <w:rPr>
          <w:lang w:val="en-US"/>
        </w:rPr>
        <w:t xml:space="preserve"> proactive means of realizing equality for people with disabilities. Placing </w:t>
      </w:r>
      <w:r w:rsidR="00C14ECE">
        <w:rPr>
          <w:lang w:val="en-US"/>
        </w:rPr>
        <w:t>accessibility standard</w:t>
      </w:r>
      <w:r w:rsidR="00F4039B">
        <w:rPr>
          <w:lang w:val="en-US"/>
        </w:rPr>
        <w:t xml:space="preserve">s within a reactive regulatory system may give the perception of weakening the distinction </w:t>
      </w:r>
      <w:r w:rsidR="00FB01F2">
        <w:rPr>
          <w:lang w:val="en-US"/>
        </w:rPr>
        <w:t>whose</w:t>
      </w:r>
      <w:r w:rsidR="00F4039B">
        <w:rPr>
          <w:lang w:val="en-US"/>
        </w:rPr>
        <w:t xml:space="preserve"> creation</w:t>
      </w:r>
      <w:r w:rsidR="00FB01F2">
        <w:rPr>
          <w:lang w:val="en-US"/>
        </w:rPr>
        <w:t xml:space="preserve"> was</w:t>
      </w:r>
      <w:r w:rsidR="00FB01F2" w:rsidRPr="00FB01F2">
        <w:rPr>
          <w:lang w:val="en-US"/>
        </w:rPr>
        <w:t xml:space="preserve"> </w:t>
      </w:r>
      <w:r w:rsidR="00FB01F2">
        <w:rPr>
          <w:lang w:val="en-US"/>
        </w:rPr>
        <w:t>long fought</w:t>
      </w:r>
      <w:r w:rsidR="00F4039B">
        <w:rPr>
          <w:lang w:val="en-US"/>
        </w:rPr>
        <w:t>.</w:t>
      </w:r>
      <w:r w:rsidR="00F4039B">
        <w:rPr>
          <w:rStyle w:val="FootnoteReference"/>
          <w:lang w:val="en-US"/>
        </w:rPr>
        <w:footnoteReference w:id="33"/>
      </w:r>
      <w:r w:rsidR="00F4039B">
        <w:rPr>
          <w:lang w:val="en-US"/>
        </w:rPr>
        <w:t xml:space="preserve"> In</w:t>
      </w:r>
      <w:r w:rsidR="00D43260">
        <w:rPr>
          <w:lang w:val="en-US"/>
        </w:rPr>
        <w:t>deed, in</w:t>
      </w:r>
      <w:r w:rsidR="00F4039B">
        <w:rPr>
          <w:lang w:val="en-US"/>
        </w:rPr>
        <w:t xml:space="preserve"> the jurisdictions maintaining standards within a reactive regulatory system, stronger, distinct processes for dealing with dissatisfaction with the standards themselves or with their violation</w:t>
      </w:r>
      <w:r w:rsidR="00495FEF" w:rsidRPr="00495FEF">
        <w:rPr>
          <w:lang w:val="en-US"/>
        </w:rPr>
        <w:t xml:space="preserve"> </w:t>
      </w:r>
      <w:r w:rsidR="00495FEF">
        <w:rPr>
          <w:lang w:val="en-US"/>
        </w:rPr>
        <w:t>would</w:t>
      </w:r>
      <w:r w:rsidR="00495FEF" w:rsidRPr="00495FEF">
        <w:rPr>
          <w:lang w:val="en-US"/>
        </w:rPr>
        <w:t xml:space="preserve"> </w:t>
      </w:r>
      <w:r w:rsidR="00495FEF">
        <w:rPr>
          <w:lang w:val="en-US"/>
        </w:rPr>
        <w:t>be</w:t>
      </w:r>
      <w:r w:rsidR="00495FEF" w:rsidRPr="00495FEF">
        <w:rPr>
          <w:lang w:val="en-US"/>
        </w:rPr>
        <w:t xml:space="preserve"> </w:t>
      </w:r>
      <w:r w:rsidR="00495FEF">
        <w:rPr>
          <w:lang w:val="en-US"/>
        </w:rPr>
        <w:t>helpful</w:t>
      </w:r>
      <w:r w:rsidR="00F4039B">
        <w:rPr>
          <w:lang w:val="en-US"/>
        </w:rPr>
        <w:t>.</w:t>
      </w:r>
    </w:p>
    <w:p w:rsidR="00152CDC" w:rsidRDefault="00152CDC" w:rsidP="00991E20">
      <w:pPr>
        <w:autoSpaceDE w:val="0"/>
        <w:autoSpaceDN w:val="0"/>
        <w:adjustRightInd w:val="0"/>
        <w:jc w:val="both"/>
        <w:rPr>
          <w:lang w:val="en-US"/>
        </w:rPr>
      </w:pPr>
    </w:p>
    <w:p w:rsidR="00086CEE" w:rsidRPr="00086CEE" w:rsidRDefault="00086CEE" w:rsidP="00086CEE">
      <w:pPr>
        <w:pStyle w:val="Heading3"/>
        <w:numPr>
          <w:ilvl w:val="0"/>
          <w:numId w:val="19"/>
        </w:numPr>
        <w:rPr>
          <w:lang w:val="en-US"/>
        </w:rPr>
      </w:pPr>
      <w:bookmarkStart w:id="10" w:name="_Toc505751499"/>
      <w:r>
        <w:rPr>
          <w:lang w:val="en-US"/>
        </w:rPr>
        <w:t xml:space="preserve">The Language of the </w:t>
      </w:r>
      <w:r w:rsidR="007762DF">
        <w:rPr>
          <w:lang w:val="en-US"/>
        </w:rPr>
        <w:t xml:space="preserve">Statute and </w:t>
      </w:r>
      <w:r w:rsidR="001E7BA0">
        <w:rPr>
          <w:lang w:val="en-US"/>
        </w:rPr>
        <w:t xml:space="preserve">the </w:t>
      </w:r>
      <w:r>
        <w:rPr>
          <w:lang w:val="en-US"/>
        </w:rPr>
        <w:t>Standards</w:t>
      </w:r>
      <w:bookmarkEnd w:id="10"/>
    </w:p>
    <w:p w:rsidR="00B21C28" w:rsidRDefault="00B21C28" w:rsidP="007762DF"/>
    <w:p w:rsidR="00233B20" w:rsidRDefault="00D92453" w:rsidP="00D92453">
      <w:pPr>
        <w:jc w:val="both"/>
      </w:pPr>
      <w:r>
        <w:t xml:space="preserve">In order to promote inclusive equality, the </w:t>
      </w:r>
      <w:r w:rsidR="00233B20" w:rsidRPr="007762DF">
        <w:t>wording o</w:t>
      </w:r>
      <w:r w:rsidR="00AC36C9" w:rsidRPr="007762DF">
        <w:t>f</w:t>
      </w:r>
      <w:r w:rsidR="00233B20" w:rsidRPr="007762DF">
        <w:t xml:space="preserve"> the </w:t>
      </w:r>
      <w:r w:rsidR="007762DF">
        <w:t xml:space="preserve">statute and standards </w:t>
      </w:r>
      <w:r w:rsidR="00233B20" w:rsidRPr="007762DF">
        <w:t xml:space="preserve">should </w:t>
      </w:r>
      <w:r w:rsidR="00FB4603">
        <w:t>reflect</w:t>
      </w:r>
      <w:r w:rsidR="00233B20" w:rsidRPr="007762DF">
        <w:t xml:space="preserve"> an intersectional approach. For example, </w:t>
      </w:r>
      <w:r w:rsidR="007762DF">
        <w:t>the</w:t>
      </w:r>
      <w:r w:rsidR="000B4D26">
        <w:t xml:space="preserve"> proposed federal accessibility legislation </w:t>
      </w:r>
      <w:r w:rsidR="007762DF">
        <w:t>could state</w:t>
      </w:r>
      <w:r w:rsidR="00357652">
        <w:t xml:space="preserve"> that:</w:t>
      </w:r>
      <w:r w:rsidR="007762DF">
        <w:t xml:space="preserve"> </w:t>
      </w:r>
      <w:r w:rsidR="00233B20" w:rsidRPr="00D92CED">
        <w:rPr>
          <w:b/>
          <w:i/>
        </w:rPr>
        <w:t>“</w:t>
      </w:r>
      <w:r w:rsidR="00B04255">
        <w:rPr>
          <w:b/>
          <w:i/>
        </w:rPr>
        <w:t>H</w:t>
      </w:r>
      <w:r w:rsidR="00B04255" w:rsidRPr="00D92CED">
        <w:rPr>
          <w:b/>
          <w:i/>
        </w:rPr>
        <w:t>aving regard to gender identity, race, sexual orientation, age, religion, family status, and other social markers,</w:t>
      </w:r>
      <w:r w:rsidR="00B04255">
        <w:rPr>
          <w:b/>
          <w:i/>
        </w:rPr>
        <w:t xml:space="preserve"> i</w:t>
      </w:r>
      <w:r w:rsidR="00233B20" w:rsidRPr="00D92CED">
        <w:rPr>
          <w:b/>
          <w:i/>
        </w:rPr>
        <w:t>t is a ground of discrimination to deny</w:t>
      </w:r>
      <w:r w:rsidR="007762DF" w:rsidRPr="00D92CED">
        <w:rPr>
          <w:b/>
          <w:i/>
        </w:rPr>
        <w:t xml:space="preserve"> </w:t>
      </w:r>
      <w:r w:rsidR="00233B20" w:rsidRPr="00D92CED">
        <w:rPr>
          <w:b/>
          <w:i/>
        </w:rPr>
        <w:t>to persons with disabilities, on an equal basis with others, access to the</w:t>
      </w:r>
      <w:r w:rsidR="007762DF" w:rsidRPr="00D92CED">
        <w:rPr>
          <w:b/>
          <w:i/>
        </w:rPr>
        <w:t xml:space="preserve"> </w:t>
      </w:r>
      <w:r w:rsidR="00233B20" w:rsidRPr="00D92CED">
        <w:rPr>
          <w:b/>
          <w:i/>
        </w:rPr>
        <w:t>physical environment, to transportation, to information and communications,</w:t>
      </w:r>
      <w:r w:rsidR="007762DF" w:rsidRPr="00D92CED">
        <w:rPr>
          <w:b/>
          <w:i/>
        </w:rPr>
        <w:t xml:space="preserve"> </w:t>
      </w:r>
      <w:r w:rsidR="00233B20" w:rsidRPr="00D92CED">
        <w:rPr>
          <w:b/>
          <w:i/>
        </w:rPr>
        <w:t>including information and communications technologies and systems, and to</w:t>
      </w:r>
      <w:r w:rsidR="007762DF" w:rsidRPr="00D92CED">
        <w:rPr>
          <w:b/>
          <w:i/>
        </w:rPr>
        <w:t xml:space="preserve"> </w:t>
      </w:r>
      <w:r w:rsidR="00233B20" w:rsidRPr="00D92CED">
        <w:rPr>
          <w:b/>
          <w:i/>
        </w:rPr>
        <w:t>other facilities and services open or provided to the public, both in urban and</w:t>
      </w:r>
      <w:r w:rsidR="00DA6DE2" w:rsidRPr="00D92CED">
        <w:rPr>
          <w:b/>
          <w:i/>
        </w:rPr>
        <w:t xml:space="preserve"> </w:t>
      </w:r>
      <w:r w:rsidR="00233B20" w:rsidRPr="00D92CED">
        <w:rPr>
          <w:b/>
          <w:i/>
        </w:rPr>
        <w:t>in rural areas.</w:t>
      </w:r>
      <w:r w:rsidR="007762DF" w:rsidRPr="00D92CED">
        <w:rPr>
          <w:b/>
          <w:i/>
        </w:rPr>
        <w:t>”</w:t>
      </w:r>
    </w:p>
    <w:p w:rsidR="007762DF" w:rsidRDefault="00357652" w:rsidP="00B21C28">
      <w:pPr>
        <w:jc w:val="both"/>
      </w:pPr>
      <w:r>
        <w:t>If terms of reference are used to direct standard development committees,</w:t>
      </w:r>
      <w:r w:rsidR="00FB4603">
        <w:t xml:space="preserve"> a</w:t>
      </w:r>
      <w:r>
        <w:t>n</w:t>
      </w:r>
      <w:r w:rsidR="00FB4603">
        <w:t xml:space="preserve"> intersectional approach to standard-setting should be required by members of the standard development committees and this requirement indicated </w:t>
      </w:r>
      <w:r w:rsidR="00DB7234">
        <w:t>in</w:t>
      </w:r>
      <w:r>
        <w:t xml:space="preserve"> the terms of reference as well. </w:t>
      </w:r>
      <w:r w:rsidR="00DB7234">
        <w:t>Finally</w:t>
      </w:r>
      <w:r>
        <w:t>, the standards themselves should incorporate an intersectional stance with wording that reflects it.</w:t>
      </w:r>
    </w:p>
    <w:p w:rsidR="00357652" w:rsidRDefault="00357652" w:rsidP="00B21C28">
      <w:pPr>
        <w:jc w:val="both"/>
      </w:pPr>
      <w:r>
        <w:t xml:space="preserve">A </w:t>
      </w:r>
      <w:r w:rsidR="005C5900">
        <w:t>way to</w:t>
      </w:r>
      <w:r>
        <w:t xml:space="preserve"> solidif</w:t>
      </w:r>
      <w:r w:rsidR="005C5900">
        <w:t>y the idea of accessibility a</w:t>
      </w:r>
      <w:r>
        <w:t>s</w:t>
      </w:r>
      <w:r w:rsidR="00DB7234">
        <w:t xml:space="preserve"> a</w:t>
      </w:r>
      <w:r>
        <w:t xml:space="preserve"> human right is to state expressly in the statute that there is a human right to accessibility</w:t>
      </w:r>
      <w:r w:rsidR="00DD5FEC">
        <w:t xml:space="preserve">. The government should consider stating in the </w:t>
      </w:r>
      <w:r w:rsidR="003B660F">
        <w:t>FAL</w:t>
      </w:r>
      <w:r w:rsidR="00DD5FEC">
        <w:t>: “</w:t>
      </w:r>
      <w:r w:rsidR="00DD5FEC" w:rsidRPr="00D92CED">
        <w:rPr>
          <w:b/>
          <w:i/>
        </w:rPr>
        <w:t>It</w:t>
      </w:r>
      <w:r w:rsidR="00DD5FEC">
        <w:rPr>
          <w:i/>
        </w:rPr>
        <w:t xml:space="preserve"> </w:t>
      </w:r>
      <w:r w:rsidR="00DD5FEC" w:rsidRPr="006D16A3">
        <w:rPr>
          <w:b/>
          <w:i/>
        </w:rPr>
        <w:t>is a ground of discrimination not</w:t>
      </w:r>
      <w:r w:rsidR="00DD5FEC" w:rsidRPr="003A6E15">
        <w:rPr>
          <w:b/>
          <w:i/>
        </w:rPr>
        <w:t xml:space="preserve"> </w:t>
      </w:r>
      <w:r w:rsidR="00DD5FEC" w:rsidRPr="006D16A3">
        <w:rPr>
          <w:b/>
          <w:i/>
        </w:rPr>
        <w:t>to provide accessibility</w:t>
      </w:r>
      <w:r w:rsidR="00DD5FEC">
        <w:rPr>
          <w:b/>
          <w:i/>
        </w:rPr>
        <w:t xml:space="preserve"> and inclusion to people with disabilities</w:t>
      </w:r>
      <w:r w:rsidR="00DD5FEC" w:rsidRPr="006D16A3">
        <w:rPr>
          <w:b/>
          <w:i/>
        </w:rPr>
        <w:t xml:space="preserve"> to the point of undue hardship</w:t>
      </w:r>
      <w:r w:rsidR="00DD5FEC">
        <w:t>”.</w:t>
      </w:r>
    </w:p>
    <w:p w:rsidR="00DD5FEC" w:rsidRPr="007762DF" w:rsidRDefault="00DD5FEC" w:rsidP="007762DF"/>
    <w:p w:rsidR="009D7380" w:rsidRDefault="001E7BA0" w:rsidP="00AF14CD">
      <w:pPr>
        <w:pStyle w:val="Heading2"/>
        <w:numPr>
          <w:ilvl w:val="0"/>
          <w:numId w:val="18"/>
        </w:numPr>
        <w:rPr>
          <w:lang w:val="en-US"/>
        </w:rPr>
      </w:pPr>
      <w:bookmarkStart w:id="11" w:name="_Toc505751500"/>
      <w:r>
        <w:rPr>
          <w:lang w:val="en-US"/>
        </w:rPr>
        <w:t xml:space="preserve">The </w:t>
      </w:r>
      <w:r w:rsidR="009D7380" w:rsidRPr="00E2330F">
        <w:rPr>
          <w:lang w:val="en-US"/>
        </w:rPr>
        <w:t xml:space="preserve">Enforcement of </w:t>
      </w:r>
      <w:r>
        <w:rPr>
          <w:lang w:val="en-US"/>
        </w:rPr>
        <w:t>Accessibility S</w:t>
      </w:r>
      <w:r w:rsidR="009D7380" w:rsidRPr="00E2330F">
        <w:rPr>
          <w:lang w:val="en-US"/>
        </w:rPr>
        <w:t>tandards</w:t>
      </w:r>
      <w:bookmarkEnd w:id="11"/>
    </w:p>
    <w:p w:rsidR="00AC7660" w:rsidRDefault="00AC7660" w:rsidP="00AC7660">
      <w:pPr>
        <w:rPr>
          <w:lang w:val="en-US"/>
        </w:rPr>
      </w:pPr>
    </w:p>
    <w:p w:rsidR="00AB0A00" w:rsidRDefault="00AB0A00" w:rsidP="00A41B0B">
      <w:pPr>
        <w:jc w:val="both"/>
        <w:rPr>
          <w:lang w:val="en-US"/>
        </w:rPr>
      </w:pPr>
      <w:r>
        <w:rPr>
          <w:lang w:val="en-US"/>
        </w:rPr>
        <w:t xml:space="preserve">Standard-setting legislation can only </w:t>
      </w:r>
      <w:r w:rsidR="00AD2838">
        <w:rPr>
          <w:lang w:val="en-US"/>
        </w:rPr>
        <w:t>e</w:t>
      </w:r>
      <w:r>
        <w:rPr>
          <w:lang w:val="en-US"/>
        </w:rPr>
        <w:t xml:space="preserve">ffect social change if there is a mechanism to enforce the standards in situations when they need to be enforced. While it </w:t>
      </w:r>
      <w:r w:rsidR="00AD2838">
        <w:rPr>
          <w:lang w:val="en-US"/>
        </w:rPr>
        <w:t>is</w:t>
      </w:r>
      <w:r>
        <w:rPr>
          <w:lang w:val="en-US"/>
        </w:rPr>
        <w:t xml:space="preserve"> wise to encourage voluntary compliance </w:t>
      </w:r>
      <w:r w:rsidR="00AD2838">
        <w:rPr>
          <w:lang w:val="en-US"/>
        </w:rPr>
        <w:t>to</w:t>
      </w:r>
      <w:r>
        <w:rPr>
          <w:lang w:val="en-US"/>
        </w:rPr>
        <w:t xml:space="preserve"> promot</w:t>
      </w:r>
      <w:r w:rsidR="00AD2838">
        <w:rPr>
          <w:lang w:val="en-US"/>
        </w:rPr>
        <w:t>e</w:t>
      </w:r>
      <w:r>
        <w:rPr>
          <w:lang w:val="en-US"/>
        </w:rPr>
        <w:t xml:space="preserve"> a shift in </w:t>
      </w:r>
      <w:r w:rsidR="00AD2838">
        <w:rPr>
          <w:lang w:val="en-US"/>
        </w:rPr>
        <w:t>Canadian</w:t>
      </w:r>
      <w:r>
        <w:rPr>
          <w:lang w:val="en-US"/>
        </w:rPr>
        <w:t xml:space="preserve"> culture toward understanding the importance of accessibility </w:t>
      </w:r>
      <w:r w:rsidR="00AD2838">
        <w:rPr>
          <w:lang w:val="en-US"/>
        </w:rPr>
        <w:t>a</w:t>
      </w:r>
      <w:r>
        <w:rPr>
          <w:lang w:val="en-US"/>
        </w:rPr>
        <w:t>s a social norm</w:t>
      </w:r>
      <w:r w:rsidR="00AD2838">
        <w:rPr>
          <w:lang w:val="en-US"/>
        </w:rPr>
        <w:t>,</w:t>
      </w:r>
      <w:r>
        <w:rPr>
          <w:lang w:val="en-US"/>
        </w:rPr>
        <w:t xml:space="preserve"> there will be </w:t>
      </w:r>
      <w:r w:rsidR="00491D16">
        <w:rPr>
          <w:lang w:val="en-US"/>
        </w:rPr>
        <w:t xml:space="preserve">circumstances </w:t>
      </w:r>
      <w:r>
        <w:rPr>
          <w:lang w:val="en-US"/>
        </w:rPr>
        <w:t xml:space="preserve">where voluntary compliance will need to be supplemented by a plan for enforcement. </w:t>
      </w:r>
    </w:p>
    <w:p w:rsidR="00AB0A00" w:rsidRDefault="003C65CC" w:rsidP="00A41B0B">
      <w:pPr>
        <w:jc w:val="both"/>
        <w:rPr>
          <w:lang w:val="en-US"/>
        </w:rPr>
      </w:pPr>
      <w:r>
        <w:rPr>
          <w:lang w:val="en-US"/>
        </w:rPr>
        <w:t xml:space="preserve">A piece of advice </w:t>
      </w:r>
      <w:r w:rsidR="00AB0A00">
        <w:rPr>
          <w:lang w:val="en-US"/>
        </w:rPr>
        <w:t xml:space="preserve">received from a province that has enacted accessibility legislation </w:t>
      </w:r>
      <w:r w:rsidR="005E4AC1">
        <w:rPr>
          <w:lang w:val="en-US"/>
        </w:rPr>
        <w:t>is that the federal government should thi</w:t>
      </w:r>
      <w:r w:rsidR="00AB0A00">
        <w:rPr>
          <w:lang w:val="en-US"/>
        </w:rPr>
        <w:t xml:space="preserve">nk through the enforcement regime </w:t>
      </w:r>
      <w:r>
        <w:rPr>
          <w:lang w:val="en-US"/>
        </w:rPr>
        <w:t>carefully in advance. Indeed, there are</w:t>
      </w:r>
      <w:r w:rsidR="005E4AC1">
        <w:rPr>
          <w:lang w:val="en-US"/>
        </w:rPr>
        <w:t xml:space="preserve"> valuable</w:t>
      </w:r>
      <w:r>
        <w:rPr>
          <w:lang w:val="en-US"/>
        </w:rPr>
        <w:t xml:space="preserve"> lessons that can be learned from the experiences of the provinces that have already </w:t>
      </w:r>
      <w:r w:rsidR="00AD2838">
        <w:rPr>
          <w:lang w:val="en-US"/>
        </w:rPr>
        <w:t xml:space="preserve">put </w:t>
      </w:r>
      <w:r>
        <w:rPr>
          <w:lang w:val="en-US"/>
        </w:rPr>
        <w:t>accessibility legislation in motion.</w:t>
      </w:r>
    </w:p>
    <w:p w:rsidR="00566D5F" w:rsidRPr="00A41B0B" w:rsidRDefault="005E4AC1" w:rsidP="00BF6F9D">
      <w:pPr>
        <w:jc w:val="both"/>
      </w:pPr>
      <w:r>
        <w:t xml:space="preserve">For example, </w:t>
      </w:r>
      <w:r w:rsidR="00F05FFC" w:rsidRPr="00A41B0B">
        <w:t xml:space="preserve">Ontario </w:t>
      </w:r>
      <w:r w:rsidR="00566D5F" w:rsidRPr="00A41B0B">
        <w:t xml:space="preserve">and </w:t>
      </w:r>
      <w:r w:rsidR="00F05FFC" w:rsidRPr="00A41B0B">
        <w:t xml:space="preserve">Manitoba </w:t>
      </w:r>
      <w:r w:rsidR="00566D5F" w:rsidRPr="00A41B0B">
        <w:t>have fairly similar structures</w:t>
      </w:r>
      <w:r w:rsidR="00CF43BB">
        <w:t xml:space="preserve">, </w:t>
      </w:r>
      <w:r w:rsidR="00566D5F" w:rsidRPr="00A41B0B">
        <w:t xml:space="preserve">though there are </w:t>
      </w:r>
      <w:r w:rsidR="00CF43BB">
        <w:t xml:space="preserve">minor </w:t>
      </w:r>
      <w:r w:rsidR="00566D5F" w:rsidRPr="00A41B0B">
        <w:t xml:space="preserve">differences in the details. </w:t>
      </w:r>
      <w:r>
        <w:t>The e</w:t>
      </w:r>
      <w:r w:rsidR="00566D5F" w:rsidRPr="00A41B0B">
        <w:t xml:space="preserve">nforcement </w:t>
      </w:r>
      <w:r w:rsidR="00065385">
        <w:t>process</w:t>
      </w:r>
      <w:r w:rsidR="00566D5F" w:rsidRPr="00A41B0B">
        <w:t xml:space="preserve"> starts with voluntary compliance</w:t>
      </w:r>
      <w:r>
        <w:t xml:space="preserve"> by entities subject to the standard</w:t>
      </w:r>
      <w:r w:rsidR="00802B6F">
        <w:t>.</w:t>
      </w:r>
      <w:r w:rsidR="0002573C">
        <w:rPr>
          <w:rStyle w:val="FootnoteReference"/>
        </w:rPr>
        <w:footnoteReference w:id="34"/>
      </w:r>
      <w:r>
        <w:t xml:space="preserve"> </w:t>
      </w:r>
      <w:r w:rsidR="00802B6F">
        <w:t>I</w:t>
      </w:r>
      <w:r>
        <w:t>t then</w:t>
      </w:r>
      <w:r w:rsidR="00566D5F" w:rsidRPr="00A41B0B">
        <w:t xml:space="preserve"> </w:t>
      </w:r>
      <w:r w:rsidR="001A2B68">
        <w:t>provides for</w:t>
      </w:r>
      <w:r w:rsidR="00566D5F" w:rsidRPr="00A41B0B">
        <w:t xml:space="preserve"> </w:t>
      </w:r>
      <w:r w:rsidR="00A41B0B" w:rsidRPr="00A41B0B">
        <w:t>inspection</w:t>
      </w:r>
      <w:r w:rsidR="00065385">
        <w:t>s</w:t>
      </w:r>
      <w:r w:rsidR="00A41B0B" w:rsidRPr="00A41B0B">
        <w:t xml:space="preserve"> and the ordering of administrative penalties with the</w:t>
      </w:r>
      <w:r w:rsidR="00566D5F" w:rsidRPr="00A41B0B">
        <w:t xml:space="preserve"> entity under inspection having the ability to appeal. </w:t>
      </w:r>
    </w:p>
    <w:p w:rsidR="00566D5F" w:rsidRPr="00A11B40" w:rsidRDefault="00A11B40" w:rsidP="001A2B68">
      <w:pPr>
        <w:jc w:val="both"/>
      </w:pPr>
      <w:r w:rsidRPr="00A11B40">
        <w:t>The</w:t>
      </w:r>
      <w:r w:rsidR="005E4AC1">
        <w:t xml:space="preserve"> </w:t>
      </w:r>
      <w:r w:rsidRPr="00A11B40">
        <w:t>systems</w:t>
      </w:r>
      <w:r w:rsidR="00566D5F" w:rsidRPr="00A11B40">
        <w:t xml:space="preserve"> </w:t>
      </w:r>
      <w:r w:rsidR="005E4AC1">
        <w:t xml:space="preserve">in Ontario and Manitoba </w:t>
      </w:r>
      <w:r w:rsidR="00566D5F" w:rsidRPr="00A11B40">
        <w:t>rest significantly on government discretion. It will be at the government’s discretion that inspectors are put out to investigate potential</w:t>
      </w:r>
      <w:r w:rsidR="005E4AC1">
        <w:t xml:space="preserve"> violations of the standards</w:t>
      </w:r>
      <w:r w:rsidR="00566D5F" w:rsidRPr="00A11B40">
        <w:t xml:space="preserve">, that administrative penalties are ordered, and that reporting </w:t>
      </w:r>
      <w:r w:rsidR="005E4AC1">
        <w:t xml:space="preserve">to the public </w:t>
      </w:r>
      <w:r w:rsidR="00566D5F" w:rsidRPr="00A11B40">
        <w:t xml:space="preserve">of contraventions of the statute will be done. Government discretion fuels any audits that may be made to ensure that accessibility plans and accessibility reports are filed. </w:t>
      </w:r>
      <w:r w:rsidR="001A2B68">
        <w:t xml:space="preserve">In </w:t>
      </w:r>
      <w:r w:rsidR="00F11FB5">
        <w:t>Ontario</w:t>
      </w:r>
      <w:r w:rsidR="00046EE2">
        <w:t>,</w:t>
      </w:r>
      <w:r w:rsidR="00F11FB5">
        <w:t xml:space="preserve"> in </w:t>
      </w:r>
      <w:r w:rsidR="001A2B68">
        <w:t>2014, freedom of information requests led to media reports that</w:t>
      </w:r>
      <w:r w:rsidR="004C49DD">
        <w:t xml:space="preserve"> </w:t>
      </w:r>
      <w:r w:rsidR="004C49DD" w:rsidRPr="004C49DD">
        <w:t>70% of companies had not filed a report, representing 36,000 busi</w:t>
      </w:r>
      <w:r w:rsidR="004C49DD">
        <w:t>nesses across the province and that they</w:t>
      </w:r>
      <w:r w:rsidR="004C49DD" w:rsidRPr="004C49DD">
        <w:t xml:space="preserve"> also had not been audited.</w:t>
      </w:r>
      <w:r w:rsidR="004C49DD">
        <w:rPr>
          <w:rStyle w:val="FootnoteReference"/>
        </w:rPr>
        <w:footnoteReference w:id="35"/>
      </w:r>
      <w:r w:rsidR="001A2B68">
        <w:t xml:space="preserve"> By 2016</w:t>
      </w:r>
      <w:r w:rsidR="0059164E">
        <w:t>,</w:t>
      </w:r>
      <w:r w:rsidR="001A2B68">
        <w:t xml:space="preserve"> the Ontario government had improved compliance monitoring measures. In its 2016 </w:t>
      </w:r>
      <w:r w:rsidR="001A2B68" w:rsidRPr="0059164E">
        <w:rPr>
          <w:i/>
        </w:rPr>
        <w:t>Accessibility Compliance and Enforcement Report</w:t>
      </w:r>
      <w:r w:rsidR="001A2B68">
        <w:t xml:space="preserve">, the Compliance and Enforcement Branch of the Accessibility Directorate of Ontario reported </w:t>
      </w:r>
      <w:r w:rsidR="00046EE2">
        <w:t xml:space="preserve">having </w:t>
      </w:r>
      <w:r w:rsidR="001A2B68">
        <w:t>conduct</w:t>
      </w:r>
      <w:r w:rsidR="00046EE2">
        <w:t>ed</w:t>
      </w:r>
      <w:r w:rsidR="001A2B68">
        <w:t xml:space="preserve"> over 1500 audits.</w:t>
      </w:r>
      <w:r w:rsidR="001A2B68">
        <w:rPr>
          <w:rStyle w:val="FootnoteReference"/>
        </w:rPr>
        <w:footnoteReference w:id="36"/>
      </w:r>
      <w:r w:rsidR="001A2B68">
        <w:t xml:space="preserve"> </w:t>
      </w:r>
      <w:r w:rsidR="00566D5F" w:rsidRPr="00A11B40">
        <w:t>One lesson that should be learned from Ontario’s experience with the AODA is that lack of political will to enforce accessibility standards can effectively obstruct the philosophical and social goals of</w:t>
      </w:r>
      <w:r w:rsidR="00D43DB3">
        <w:t xml:space="preserve"> an</w:t>
      </w:r>
      <w:r w:rsidR="00566D5F" w:rsidRPr="00A11B40">
        <w:t xml:space="preserve"> accessibility standards statute.</w:t>
      </w:r>
      <w:r>
        <w:rPr>
          <w:rStyle w:val="FootnoteReference"/>
        </w:rPr>
        <w:footnoteReference w:id="37"/>
      </w:r>
    </w:p>
    <w:p w:rsidR="003978C7" w:rsidRDefault="003978C7" w:rsidP="003978C7">
      <w:pPr>
        <w:rPr>
          <w:lang w:val="en-US"/>
        </w:rPr>
      </w:pPr>
      <w:r>
        <w:t xml:space="preserve">It would be beneficial to have a </w:t>
      </w:r>
      <w:r w:rsidR="00337BD2">
        <w:t xml:space="preserve">complementary </w:t>
      </w:r>
      <w:r>
        <w:t>mechanism to welcome and address</w:t>
      </w:r>
      <w:r>
        <w:rPr>
          <w:lang w:val="en-US"/>
        </w:rPr>
        <w:t xml:space="preserve"> public complaints</w:t>
      </w:r>
      <w:r w:rsidR="0056523F">
        <w:rPr>
          <w:lang w:val="en-US"/>
        </w:rPr>
        <w:t xml:space="preserve"> so that the system of enforcement does not re</w:t>
      </w:r>
      <w:r w:rsidR="005405B5">
        <w:rPr>
          <w:lang w:val="en-US"/>
        </w:rPr>
        <w:t>ly</w:t>
      </w:r>
      <w:r w:rsidR="0056523F">
        <w:rPr>
          <w:lang w:val="en-US"/>
        </w:rPr>
        <w:t xml:space="preserve"> entirely on governmental discretion</w:t>
      </w:r>
      <w:r>
        <w:rPr>
          <w:lang w:val="en-US"/>
        </w:rPr>
        <w:t xml:space="preserve">. </w:t>
      </w:r>
      <w:r w:rsidR="0056523F">
        <w:rPr>
          <w:lang w:val="en-US"/>
        </w:rPr>
        <w:t xml:space="preserve">Members of the disability community </w:t>
      </w:r>
      <w:r w:rsidR="00046EE2">
        <w:rPr>
          <w:lang w:val="en-US"/>
        </w:rPr>
        <w:t>sh</w:t>
      </w:r>
      <w:r w:rsidR="0056523F">
        <w:rPr>
          <w:lang w:val="en-US"/>
        </w:rPr>
        <w:t xml:space="preserve">ould be able to identify and bring attention to entities that are noncompliant. </w:t>
      </w:r>
      <w:r>
        <w:rPr>
          <w:lang w:val="en-US"/>
        </w:rPr>
        <w:t>W</w:t>
      </w:r>
      <w:r w:rsidR="00566D5F" w:rsidRPr="003978C7">
        <w:rPr>
          <w:lang w:val="en-US"/>
        </w:rPr>
        <w:t xml:space="preserve">hat should happen </w:t>
      </w:r>
      <w:r>
        <w:rPr>
          <w:lang w:val="en-US"/>
        </w:rPr>
        <w:t>if</w:t>
      </w:r>
      <w:r w:rsidR="00566D5F" w:rsidRPr="003978C7">
        <w:rPr>
          <w:lang w:val="en-US"/>
        </w:rPr>
        <w:t xml:space="preserve"> a member of the public complains</w:t>
      </w:r>
      <w:r>
        <w:rPr>
          <w:lang w:val="en-US"/>
        </w:rPr>
        <w:t xml:space="preserve"> that </w:t>
      </w:r>
      <w:r w:rsidR="003873C6">
        <w:rPr>
          <w:lang w:val="en-US"/>
        </w:rPr>
        <w:t>a</w:t>
      </w:r>
      <w:r>
        <w:rPr>
          <w:lang w:val="en-US"/>
        </w:rPr>
        <w:t xml:space="preserve"> standard has not been met</w:t>
      </w:r>
      <w:r w:rsidR="00566D5F" w:rsidRPr="003978C7">
        <w:rPr>
          <w:lang w:val="en-US"/>
        </w:rPr>
        <w:t xml:space="preserve">? </w:t>
      </w:r>
      <w:r>
        <w:rPr>
          <w:lang w:val="en-US"/>
        </w:rPr>
        <w:t xml:space="preserve"> Complaints should do </w:t>
      </w:r>
      <w:r w:rsidR="000F542D">
        <w:rPr>
          <w:lang w:val="en-US"/>
        </w:rPr>
        <w:t xml:space="preserve">at least </w:t>
      </w:r>
      <w:r>
        <w:rPr>
          <w:lang w:val="en-US"/>
        </w:rPr>
        <w:t>one of three things:</w:t>
      </w:r>
    </w:p>
    <w:p w:rsidR="003978C7" w:rsidRDefault="003978C7" w:rsidP="00BE7B74">
      <w:pPr>
        <w:pStyle w:val="ListParagraph"/>
        <w:numPr>
          <w:ilvl w:val="0"/>
          <w:numId w:val="26"/>
        </w:numPr>
        <w:jc w:val="both"/>
        <w:rPr>
          <w:lang w:val="en-US"/>
        </w:rPr>
      </w:pPr>
      <w:r>
        <w:rPr>
          <w:lang w:val="en-US"/>
        </w:rPr>
        <w:t>they c</w:t>
      </w:r>
      <w:r w:rsidRPr="003978C7">
        <w:rPr>
          <w:lang w:val="en-US"/>
        </w:rPr>
        <w:t xml:space="preserve">ould trigger inspections, especially if a significant </w:t>
      </w:r>
      <w:r w:rsidR="00256841">
        <w:rPr>
          <w:lang w:val="en-US"/>
        </w:rPr>
        <w:t xml:space="preserve">or set </w:t>
      </w:r>
      <w:r w:rsidRPr="003978C7">
        <w:rPr>
          <w:lang w:val="en-US"/>
        </w:rPr>
        <w:t>number of complaints have been received about the same violation</w:t>
      </w:r>
      <w:r w:rsidR="005405B5">
        <w:rPr>
          <w:lang w:val="en-US"/>
        </w:rPr>
        <w:t xml:space="preserve">. </w:t>
      </w:r>
      <w:r w:rsidR="005405B5">
        <w:t xml:space="preserve">Currently, the Nova Scotia </w:t>
      </w:r>
      <w:r w:rsidR="005405B5" w:rsidRPr="00775088">
        <w:rPr>
          <w:i/>
        </w:rPr>
        <w:t>Accessibility Act</w:t>
      </w:r>
      <w:r w:rsidR="005405B5">
        <w:t xml:space="preserve"> is the only accessibility legislation in Canada that allows for inspections to take place in response to a complaint, though it’s too early in the life of the Nova Scotia legislation to know how this provision will work in practice</w:t>
      </w:r>
      <w:r w:rsidRPr="003978C7">
        <w:rPr>
          <w:lang w:val="en-US"/>
        </w:rPr>
        <w:t>;</w:t>
      </w:r>
      <w:r w:rsidR="00775088">
        <w:rPr>
          <w:rStyle w:val="FootnoteReference"/>
          <w:lang w:val="en-US"/>
        </w:rPr>
        <w:footnoteReference w:id="38"/>
      </w:r>
      <w:r w:rsidRPr="003978C7">
        <w:rPr>
          <w:lang w:val="en-US"/>
        </w:rPr>
        <w:t xml:space="preserve"> </w:t>
      </w:r>
    </w:p>
    <w:p w:rsidR="00493F89" w:rsidRDefault="003978C7" w:rsidP="0035382C">
      <w:pPr>
        <w:pStyle w:val="ListParagraph"/>
        <w:numPr>
          <w:ilvl w:val="0"/>
          <w:numId w:val="26"/>
        </w:numPr>
        <w:jc w:val="both"/>
        <w:rPr>
          <w:lang w:val="en-US"/>
        </w:rPr>
      </w:pPr>
      <w:r w:rsidRPr="003978C7">
        <w:rPr>
          <w:lang w:val="en-US"/>
        </w:rPr>
        <w:t xml:space="preserve">they could lead to public </w:t>
      </w:r>
      <w:r w:rsidR="00337BD2">
        <w:rPr>
          <w:lang w:val="en-US"/>
        </w:rPr>
        <w:t xml:space="preserve">enforcement </w:t>
      </w:r>
      <w:r w:rsidRPr="003978C7">
        <w:rPr>
          <w:lang w:val="en-US"/>
        </w:rPr>
        <w:t>for injunctive relief (i.e. to have the standard respected</w:t>
      </w:r>
      <w:r w:rsidR="00E600E3">
        <w:rPr>
          <w:lang w:val="en-US"/>
        </w:rPr>
        <w:t>;</w:t>
      </w:r>
      <w:r w:rsidRPr="003978C7">
        <w:rPr>
          <w:lang w:val="en-US"/>
        </w:rPr>
        <w:t xml:space="preserve"> not for compensatory damages) on the part of the complainants. </w:t>
      </w:r>
      <w:r w:rsidR="006D191A">
        <w:rPr>
          <w:lang w:val="en-US"/>
        </w:rPr>
        <w:t xml:space="preserve">This could be particularly helpful when dealing with repeat offenders. </w:t>
      </w:r>
      <w:r w:rsidR="00337BD2">
        <w:rPr>
          <w:lang w:val="en-US"/>
        </w:rPr>
        <w:t>P</w:t>
      </w:r>
      <w:r w:rsidRPr="003978C7">
        <w:rPr>
          <w:lang w:val="en-US"/>
        </w:rPr>
        <w:t>ublic</w:t>
      </w:r>
      <w:r w:rsidR="00337BD2">
        <w:rPr>
          <w:lang w:val="en-US"/>
        </w:rPr>
        <w:t xml:space="preserve"> enforcement </w:t>
      </w:r>
      <w:r w:rsidR="00E600E3">
        <w:rPr>
          <w:lang w:val="en-US"/>
        </w:rPr>
        <w:t>c</w:t>
      </w:r>
      <w:r w:rsidRPr="003978C7">
        <w:rPr>
          <w:lang w:val="en-US"/>
        </w:rPr>
        <w:t xml:space="preserve">ould be undertaken by </w:t>
      </w:r>
      <w:r w:rsidR="001A035F">
        <w:rPr>
          <w:lang w:val="en-US"/>
        </w:rPr>
        <w:t xml:space="preserve">a class of </w:t>
      </w:r>
      <w:r w:rsidRPr="003978C7">
        <w:rPr>
          <w:lang w:val="en-US"/>
        </w:rPr>
        <w:t xml:space="preserve">prosecutors </w:t>
      </w:r>
      <w:r w:rsidR="001A035F">
        <w:rPr>
          <w:lang w:val="en-US"/>
        </w:rPr>
        <w:t>established</w:t>
      </w:r>
      <w:r w:rsidRPr="003978C7">
        <w:rPr>
          <w:lang w:val="en-US"/>
        </w:rPr>
        <w:t xml:space="preserve"> under the statute</w:t>
      </w:r>
      <w:r w:rsidR="00337BD2">
        <w:rPr>
          <w:lang w:val="en-US"/>
        </w:rPr>
        <w:t xml:space="preserve"> and </w:t>
      </w:r>
      <w:r w:rsidR="00E600E3">
        <w:rPr>
          <w:lang w:val="en-US"/>
        </w:rPr>
        <w:t xml:space="preserve">the matters could be </w:t>
      </w:r>
      <w:r w:rsidR="00337BD2">
        <w:rPr>
          <w:lang w:val="en-US"/>
        </w:rPr>
        <w:t>brought before the Canadian Human Rights Tribunal</w:t>
      </w:r>
      <w:r>
        <w:rPr>
          <w:lang w:val="en-US"/>
        </w:rPr>
        <w:t>.</w:t>
      </w:r>
      <w:r w:rsidR="00337BD2">
        <w:rPr>
          <w:lang w:val="en-US"/>
        </w:rPr>
        <w:t xml:space="preserve"> </w:t>
      </w:r>
      <w:r w:rsidRPr="003978C7">
        <w:rPr>
          <w:lang w:val="en-US"/>
        </w:rPr>
        <w:t xml:space="preserve">The </w:t>
      </w:r>
      <w:r w:rsidR="00337BD2">
        <w:rPr>
          <w:lang w:val="en-US"/>
        </w:rPr>
        <w:t>prosecutor</w:t>
      </w:r>
      <w:r w:rsidR="009C744F">
        <w:rPr>
          <w:lang w:val="en-US"/>
        </w:rPr>
        <w:t>s</w:t>
      </w:r>
      <w:r w:rsidR="00DD14C7">
        <w:rPr>
          <w:lang w:val="en-US"/>
        </w:rPr>
        <w:t xml:space="preserve"> c</w:t>
      </w:r>
      <w:r w:rsidR="00337BD2">
        <w:rPr>
          <w:lang w:val="en-US"/>
        </w:rPr>
        <w:t xml:space="preserve">ould be </w:t>
      </w:r>
      <w:r w:rsidR="009C744F">
        <w:rPr>
          <w:lang w:val="en-US"/>
        </w:rPr>
        <w:t>cross-appointe</w:t>
      </w:r>
      <w:r w:rsidR="001A035F">
        <w:rPr>
          <w:lang w:val="en-US"/>
        </w:rPr>
        <w:t>es</w:t>
      </w:r>
      <w:r w:rsidR="009C744F">
        <w:rPr>
          <w:lang w:val="en-US"/>
        </w:rPr>
        <w:t xml:space="preserve"> </w:t>
      </w:r>
      <w:r w:rsidR="00337BD2">
        <w:rPr>
          <w:lang w:val="en-US"/>
        </w:rPr>
        <w:t xml:space="preserve">from </w:t>
      </w:r>
      <w:r w:rsidRPr="003978C7">
        <w:rPr>
          <w:lang w:val="en-US"/>
        </w:rPr>
        <w:t xml:space="preserve">a federal government body </w:t>
      </w:r>
      <w:r w:rsidR="00DD14C7">
        <w:rPr>
          <w:lang w:val="en-US"/>
        </w:rPr>
        <w:t>that has</w:t>
      </w:r>
      <w:r>
        <w:rPr>
          <w:lang w:val="en-US"/>
        </w:rPr>
        <w:t xml:space="preserve"> expertise in bringing </w:t>
      </w:r>
      <w:r w:rsidR="00DD14C7">
        <w:rPr>
          <w:lang w:val="en-US"/>
        </w:rPr>
        <w:t xml:space="preserve">public interest </w:t>
      </w:r>
      <w:r>
        <w:rPr>
          <w:lang w:val="en-US"/>
        </w:rPr>
        <w:t xml:space="preserve">human rights </w:t>
      </w:r>
      <w:r w:rsidR="00493F89">
        <w:rPr>
          <w:lang w:val="en-US"/>
        </w:rPr>
        <w:t xml:space="preserve">matters </w:t>
      </w:r>
      <w:r w:rsidR="009C744F">
        <w:rPr>
          <w:lang w:val="en-US"/>
        </w:rPr>
        <w:t>before the Canadian Human Rights Tribunal</w:t>
      </w:r>
      <w:r w:rsidR="00DD14C7">
        <w:rPr>
          <w:lang w:val="en-US"/>
        </w:rPr>
        <w:t xml:space="preserve"> –specifically,</w:t>
      </w:r>
      <w:r w:rsidR="009C744F">
        <w:rPr>
          <w:lang w:val="en-US"/>
        </w:rPr>
        <w:t xml:space="preserve"> </w:t>
      </w:r>
      <w:r w:rsidR="001A035F">
        <w:rPr>
          <w:lang w:val="en-US"/>
        </w:rPr>
        <w:t xml:space="preserve">from </w:t>
      </w:r>
      <w:r w:rsidRPr="003978C7">
        <w:rPr>
          <w:lang w:val="en-US"/>
        </w:rPr>
        <w:t xml:space="preserve">the </w:t>
      </w:r>
      <w:r>
        <w:rPr>
          <w:lang w:val="en-US"/>
        </w:rPr>
        <w:t xml:space="preserve">Canadian Human Rights Commission. </w:t>
      </w:r>
      <w:r w:rsidR="006D191A">
        <w:rPr>
          <w:lang w:val="en-US"/>
        </w:rPr>
        <w:t xml:space="preserve">Public enforcement can ensure that large organizations comply with the standards. </w:t>
      </w:r>
      <w:r>
        <w:rPr>
          <w:lang w:val="en-US"/>
        </w:rPr>
        <w:t>A</w:t>
      </w:r>
      <w:r w:rsidR="00566D5F" w:rsidRPr="003978C7">
        <w:rPr>
          <w:lang w:val="en-US"/>
        </w:rPr>
        <w:t xml:space="preserve"> lesson that can be</w:t>
      </w:r>
      <w:r w:rsidR="00337BD2">
        <w:rPr>
          <w:lang w:val="en-US"/>
        </w:rPr>
        <w:t xml:space="preserve"> </w:t>
      </w:r>
      <w:r w:rsidR="00AE521C">
        <w:rPr>
          <w:lang w:val="en-US"/>
        </w:rPr>
        <w:t>learned</w:t>
      </w:r>
      <w:r w:rsidR="00337BD2">
        <w:rPr>
          <w:lang w:val="en-US"/>
        </w:rPr>
        <w:t xml:space="preserve"> from the</w:t>
      </w:r>
      <w:r w:rsidR="00566D5F" w:rsidRPr="003978C7">
        <w:rPr>
          <w:lang w:val="en-US"/>
        </w:rPr>
        <w:t xml:space="preserve"> US is </w:t>
      </w:r>
      <w:r w:rsidR="006D191A">
        <w:rPr>
          <w:lang w:val="en-US"/>
        </w:rPr>
        <w:t>that there is v</w:t>
      </w:r>
      <w:r w:rsidR="00DD14C7">
        <w:rPr>
          <w:lang w:val="en-US"/>
        </w:rPr>
        <w:t xml:space="preserve">alue </w:t>
      </w:r>
      <w:r w:rsidR="006D191A">
        <w:rPr>
          <w:lang w:val="en-US"/>
        </w:rPr>
        <w:t>in</w:t>
      </w:r>
      <w:r w:rsidR="00DD14C7">
        <w:rPr>
          <w:lang w:val="en-US"/>
        </w:rPr>
        <w:t xml:space="preserve"> </w:t>
      </w:r>
      <w:r w:rsidR="00566D5F" w:rsidRPr="003978C7">
        <w:rPr>
          <w:lang w:val="en-US"/>
        </w:rPr>
        <w:t>triag</w:t>
      </w:r>
      <w:r w:rsidR="00DD14C7">
        <w:rPr>
          <w:lang w:val="en-US"/>
        </w:rPr>
        <w:t>ing public enforcement</w:t>
      </w:r>
      <w:r w:rsidR="00566D5F" w:rsidRPr="003978C7">
        <w:rPr>
          <w:lang w:val="en-US"/>
        </w:rPr>
        <w:t xml:space="preserve"> complaints</w:t>
      </w:r>
      <w:r w:rsidR="009C744F">
        <w:rPr>
          <w:lang w:val="en-US"/>
        </w:rPr>
        <w:t xml:space="preserve"> so that </w:t>
      </w:r>
      <w:r w:rsidR="00DD14C7">
        <w:rPr>
          <w:lang w:val="en-US"/>
        </w:rPr>
        <w:t>those</w:t>
      </w:r>
      <w:r w:rsidR="009C744F" w:rsidRPr="003978C7">
        <w:rPr>
          <w:lang w:val="en-US"/>
        </w:rPr>
        <w:t xml:space="preserve"> that are </w:t>
      </w:r>
      <w:r w:rsidR="006C5810">
        <w:rPr>
          <w:lang w:val="en-US"/>
        </w:rPr>
        <w:t>at the top of the list</w:t>
      </w:r>
      <w:r w:rsidR="006C5810" w:rsidRPr="003978C7">
        <w:rPr>
          <w:lang w:val="en-US"/>
        </w:rPr>
        <w:t xml:space="preserve"> </w:t>
      </w:r>
      <w:r w:rsidR="006C5810">
        <w:rPr>
          <w:lang w:val="en-US"/>
        </w:rPr>
        <w:t xml:space="preserve">are </w:t>
      </w:r>
      <w:r w:rsidR="009C744F" w:rsidRPr="003978C7">
        <w:rPr>
          <w:lang w:val="en-US"/>
        </w:rPr>
        <w:t>of importance to the disability community (which may, for example, be determined by the volume of complain</w:t>
      </w:r>
      <w:r w:rsidR="001A035F">
        <w:rPr>
          <w:lang w:val="en-US"/>
        </w:rPr>
        <w:t>ts against one organization</w:t>
      </w:r>
      <w:r w:rsidR="009C744F" w:rsidRPr="003978C7">
        <w:rPr>
          <w:lang w:val="en-US"/>
        </w:rPr>
        <w:t>)</w:t>
      </w:r>
      <w:r w:rsidR="0035382C">
        <w:rPr>
          <w:lang w:val="en-US"/>
        </w:rPr>
        <w:t xml:space="preserve"> </w:t>
      </w:r>
      <w:r w:rsidR="006C5810">
        <w:rPr>
          <w:lang w:val="en-US"/>
        </w:rPr>
        <w:t>and/or</w:t>
      </w:r>
      <w:r w:rsidR="009C744F">
        <w:rPr>
          <w:lang w:val="en-US"/>
        </w:rPr>
        <w:t xml:space="preserve"> </w:t>
      </w:r>
      <w:r w:rsidR="00566D5F" w:rsidRPr="003978C7">
        <w:rPr>
          <w:lang w:val="en-US"/>
        </w:rPr>
        <w:t>significant cases that will provide public education</w:t>
      </w:r>
      <w:r w:rsidR="0035382C">
        <w:rPr>
          <w:lang w:val="en-US"/>
        </w:rPr>
        <w:t xml:space="preserve"> and promote culture change</w:t>
      </w:r>
      <w:r w:rsidR="00566D5F" w:rsidRPr="003978C7">
        <w:rPr>
          <w:lang w:val="en-US"/>
        </w:rPr>
        <w:t xml:space="preserve">. </w:t>
      </w:r>
      <w:r w:rsidR="001A035F">
        <w:rPr>
          <w:lang w:val="en-US"/>
        </w:rPr>
        <w:t xml:space="preserve">It seems a natural fit to have the Canadian Human Rights Tribunal determine </w:t>
      </w:r>
      <w:r w:rsidR="0035382C">
        <w:rPr>
          <w:lang w:val="en-US"/>
        </w:rPr>
        <w:t>public enforcement cases given the Tribunal’s long-standing experience deciding</w:t>
      </w:r>
      <w:r w:rsidR="00374EF2">
        <w:rPr>
          <w:lang w:val="en-US"/>
        </w:rPr>
        <w:t xml:space="preserve"> disability matters</w:t>
      </w:r>
      <w:r w:rsidR="0035382C">
        <w:rPr>
          <w:lang w:val="en-US"/>
        </w:rPr>
        <w:t>. It also offers the opportunity to place these matters before a body that can approach the issue</w:t>
      </w:r>
      <w:r w:rsidR="006C5810">
        <w:rPr>
          <w:lang w:val="en-US"/>
        </w:rPr>
        <w:t>s</w:t>
      </w:r>
      <w:r w:rsidR="0035382C">
        <w:rPr>
          <w:lang w:val="en-US"/>
        </w:rPr>
        <w:t xml:space="preserve"> from an intersectional and inclusive equality lens</w:t>
      </w:r>
      <w:r w:rsidR="00374EF2">
        <w:rPr>
          <w:lang w:val="en-US"/>
        </w:rPr>
        <w:t>;</w:t>
      </w:r>
      <w:r w:rsidR="003873C6">
        <w:rPr>
          <w:lang w:val="en-US"/>
        </w:rPr>
        <w:t xml:space="preserve"> or</w:t>
      </w:r>
    </w:p>
    <w:p w:rsidR="00493F89" w:rsidRDefault="003873C6" w:rsidP="007E4F77">
      <w:pPr>
        <w:pStyle w:val="ListParagraph"/>
        <w:numPr>
          <w:ilvl w:val="0"/>
          <w:numId w:val="26"/>
        </w:numPr>
        <w:jc w:val="both"/>
        <w:rPr>
          <w:lang w:val="en-US"/>
        </w:rPr>
      </w:pPr>
      <w:r>
        <w:rPr>
          <w:lang w:val="en-US"/>
        </w:rPr>
        <w:t>a</w:t>
      </w:r>
      <w:r w:rsidR="00542E27">
        <w:rPr>
          <w:lang w:val="en-US"/>
        </w:rPr>
        <w:t>t the very least, the</w:t>
      </w:r>
      <w:r w:rsidR="00175D90">
        <w:rPr>
          <w:lang w:val="en-US"/>
        </w:rPr>
        <w:t>y c</w:t>
      </w:r>
      <w:r w:rsidR="00046EE2">
        <w:rPr>
          <w:lang w:val="en-US"/>
        </w:rPr>
        <w:t xml:space="preserve">ould lead to </w:t>
      </w:r>
      <w:r w:rsidR="00493F89">
        <w:rPr>
          <w:lang w:val="en-US"/>
        </w:rPr>
        <w:t xml:space="preserve">a mechanism </w:t>
      </w:r>
      <w:r w:rsidR="00046EE2">
        <w:rPr>
          <w:lang w:val="en-US"/>
        </w:rPr>
        <w:t>through which</w:t>
      </w:r>
      <w:r w:rsidR="00493F89">
        <w:rPr>
          <w:lang w:val="en-US"/>
        </w:rPr>
        <w:t xml:space="preserve"> members of the disability community who believe that they have encountered a violation of </w:t>
      </w:r>
      <w:r w:rsidR="00175D90">
        <w:rPr>
          <w:lang w:val="en-US"/>
        </w:rPr>
        <w:t>a</w:t>
      </w:r>
      <w:r w:rsidR="00493F89">
        <w:rPr>
          <w:lang w:val="en-US"/>
        </w:rPr>
        <w:t xml:space="preserve"> standard </w:t>
      </w:r>
      <w:r w:rsidR="00175D90">
        <w:rPr>
          <w:lang w:val="en-US"/>
        </w:rPr>
        <w:t>can</w:t>
      </w:r>
      <w:r w:rsidR="00493F89">
        <w:rPr>
          <w:lang w:val="en-US"/>
        </w:rPr>
        <w:t xml:space="preserve"> register their complaint and receive</w:t>
      </w:r>
      <w:r w:rsidR="001A035F">
        <w:rPr>
          <w:lang w:val="en-US"/>
        </w:rPr>
        <w:t xml:space="preserve"> </w:t>
      </w:r>
      <w:r w:rsidR="00924C37">
        <w:rPr>
          <w:lang w:val="en-US"/>
        </w:rPr>
        <w:t>information</w:t>
      </w:r>
      <w:r w:rsidR="00493F89">
        <w:rPr>
          <w:lang w:val="en-US"/>
        </w:rPr>
        <w:t xml:space="preserve"> as to</w:t>
      </w:r>
      <w:r w:rsidR="00924C37">
        <w:rPr>
          <w:lang w:val="en-US"/>
        </w:rPr>
        <w:t xml:space="preserve"> </w:t>
      </w:r>
      <w:r w:rsidR="001A035F">
        <w:rPr>
          <w:lang w:val="en-US"/>
        </w:rPr>
        <w:t>where they might go</w:t>
      </w:r>
      <w:r w:rsidR="00924C37">
        <w:rPr>
          <w:lang w:val="en-US"/>
        </w:rPr>
        <w:t xml:space="preserve"> to have their concerns addressed</w:t>
      </w:r>
      <w:r w:rsidR="00782060">
        <w:rPr>
          <w:lang w:val="en-US"/>
        </w:rPr>
        <w:t xml:space="preserve"> (a system navigator)</w:t>
      </w:r>
      <w:r w:rsidR="00493F89">
        <w:rPr>
          <w:lang w:val="en-US"/>
        </w:rPr>
        <w:t xml:space="preserve">. </w:t>
      </w:r>
    </w:p>
    <w:p w:rsidR="002D3CF2" w:rsidRDefault="00BD550B" w:rsidP="00054F8F">
      <w:pPr>
        <w:spacing w:after="0"/>
        <w:jc w:val="both"/>
        <w:rPr>
          <w:lang w:val="en-US"/>
        </w:rPr>
      </w:pPr>
      <w:r>
        <w:rPr>
          <w:lang w:val="en-US"/>
        </w:rPr>
        <w:t xml:space="preserve">In summary, as </w:t>
      </w:r>
      <w:r w:rsidR="00054F8F">
        <w:rPr>
          <w:lang w:val="en-US"/>
        </w:rPr>
        <w:t>a first resort</w:t>
      </w:r>
      <w:r w:rsidR="002D3CF2">
        <w:rPr>
          <w:lang w:val="en-US"/>
        </w:rPr>
        <w:t>,</w:t>
      </w:r>
      <w:r>
        <w:rPr>
          <w:lang w:val="en-US"/>
        </w:rPr>
        <w:t xml:space="preserve"> and similar to what exists in the provinces</w:t>
      </w:r>
      <w:r w:rsidR="00EC6519">
        <w:rPr>
          <w:lang w:val="en-US"/>
        </w:rPr>
        <w:t>, there</w:t>
      </w:r>
      <w:r w:rsidR="00054F8F">
        <w:rPr>
          <w:lang w:val="en-US"/>
        </w:rPr>
        <w:t xml:space="preserve"> </w:t>
      </w:r>
      <w:r w:rsidR="00BE73DA">
        <w:rPr>
          <w:lang w:val="en-US"/>
        </w:rPr>
        <w:t xml:space="preserve">should be </w:t>
      </w:r>
      <w:r w:rsidR="00233FE5">
        <w:rPr>
          <w:lang w:val="en-US"/>
        </w:rPr>
        <w:t>a</w:t>
      </w:r>
      <w:r w:rsidR="00BE73DA">
        <w:rPr>
          <w:lang w:val="en-US"/>
        </w:rPr>
        <w:t xml:space="preserve"> </w:t>
      </w:r>
      <w:r w:rsidR="00054F8F">
        <w:rPr>
          <w:lang w:val="en-US"/>
        </w:rPr>
        <w:t xml:space="preserve">set of procedures for </w:t>
      </w:r>
      <w:r w:rsidR="00DC7864">
        <w:rPr>
          <w:lang w:val="en-US"/>
        </w:rPr>
        <w:t>e</w:t>
      </w:r>
      <w:r w:rsidR="00736ECF">
        <w:rPr>
          <w:lang w:val="en-US"/>
        </w:rPr>
        <w:t>ncouraging voluntary compliance</w:t>
      </w:r>
      <w:r w:rsidR="006C5810">
        <w:rPr>
          <w:lang w:val="en-US"/>
        </w:rPr>
        <w:t xml:space="preserve"> under the proposed federal accessibility legislation</w:t>
      </w:r>
      <w:r w:rsidR="00175D90">
        <w:rPr>
          <w:lang w:val="en-US"/>
        </w:rPr>
        <w:t>. When it comes to potential violations of the standards, a public complaints mechanism would allow for input by members of the public who encounter barriers</w:t>
      </w:r>
      <w:r w:rsidR="002D3CF2">
        <w:rPr>
          <w:lang w:val="en-US"/>
        </w:rPr>
        <w:t>,</w:t>
      </w:r>
      <w:r w:rsidR="00175D90">
        <w:rPr>
          <w:lang w:val="en-US"/>
        </w:rPr>
        <w:t xml:space="preserve"> and could also prevent the inspection </w:t>
      </w:r>
      <w:r w:rsidR="002D3CF2">
        <w:rPr>
          <w:lang w:val="en-US"/>
        </w:rPr>
        <w:t>for</w:t>
      </w:r>
      <w:r w:rsidR="00175D90">
        <w:rPr>
          <w:lang w:val="en-US"/>
        </w:rPr>
        <w:t xml:space="preserve"> potential violations from resting entirely in the hands of governmental discretion. </w:t>
      </w:r>
    </w:p>
    <w:p w:rsidR="002D3CF2" w:rsidRDefault="002D3CF2" w:rsidP="00054F8F">
      <w:pPr>
        <w:spacing w:after="0"/>
        <w:jc w:val="both"/>
        <w:rPr>
          <w:lang w:val="en-US"/>
        </w:rPr>
      </w:pPr>
    </w:p>
    <w:p w:rsidR="00961A12" w:rsidRDefault="00961A12" w:rsidP="00961A12">
      <w:pPr>
        <w:jc w:val="both"/>
        <w:rPr>
          <w:lang w:val="en-US"/>
        </w:rPr>
      </w:pPr>
      <w:r>
        <w:rPr>
          <w:lang w:val="en-US"/>
        </w:rPr>
        <w:t>In Canada, the enforceability of accessibility standards and the enforceability of antidiscrimination legislation are two distinct things. This is not the case in all jurisdictions.  The distinction is important to note</w:t>
      </w:r>
      <w:r w:rsidR="00621C55">
        <w:rPr>
          <w:lang w:val="en-US"/>
        </w:rPr>
        <w:t xml:space="preserve"> as i</w:t>
      </w:r>
      <w:r>
        <w:rPr>
          <w:lang w:val="en-US"/>
        </w:rPr>
        <w:t>n some jurisdictions, such as Australia, violations</w:t>
      </w:r>
      <w:r w:rsidR="00621C55">
        <w:rPr>
          <w:lang w:val="en-US"/>
        </w:rPr>
        <w:t xml:space="preserve"> of accessibility standards </w:t>
      </w:r>
      <w:r w:rsidR="00381BDB">
        <w:rPr>
          <w:lang w:val="en-US"/>
        </w:rPr>
        <w:t>can</w:t>
      </w:r>
      <w:r>
        <w:rPr>
          <w:lang w:val="en-US"/>
        </w:rPr>
        <w:t xml:space="preserve"> coincid</w:t>
      </w:r>
      <w:r w:rsidR="00621C55">
        <w:rPr>
          <w:lang w:val="en-US"/>
        </w:rPr>
        <w:t>e</w:t>
      </w:r>
      <w:r>
        <w:rPr>
          <w:lang w:val="en-US"/>
        </w:rPr>
        <w:t xml:space="preserve"> with a breach of the antidiscrimination legislation in an individualized context. Canada has set a unique and commendable path for developing proactive legislation that deals </w:t>
      </w:r>
      <w:r w:rsidR="00381BDB">
        <w:rPr>
          <w:lang w:val="en-US"/>
        </w:rPr>
        <w:t xml:space="preserve">solely </w:t>
      </w:r>
      <w:r>
        <w:rPr>
          <w:lang w:val="en-US"/>
        </w:rPr>
        <w:t xml:space="preserve">with large-scale standards in order to help advance social inclusion at a faster rate.  </w:t>
      </w:r>
      <w:r w:rsidR="00381BDB">
        <w:rPr>
          <w:lang w:val="en-US"/>
        </w:rPr>
        <w:t>While i</w:t>
      </w:r>
      <w:r>
        <w:rPr>
          <w:lang w:val="en-US"/>
        </w:rPr>
        <w:t xml:space="preserve">ssues about </w:t>
      </w:r>
      <w:r w:rsidR="00381BDB">
        <w:rPr>
          <w:lang w:val="en-US"/>
        </w:rPr>
        <w:t xml:space="preserve">standard </w:t>
      </w:r>
      <w:r>
        <w:rPr>
          <w:lang w:val="en-US"/>
        </w:rPr>
        <w:t>enforcement are addressed in this section</w:t>
      </w:r>
      <w:r w:rsidR="00381BDB">
        <w:rPr>
          <w:lang w:val="en-US"/>
        </w:rPr>
        <w:t>,</w:t>
      </w:r>
      <w:r>
        <w:rPr>
          <w:lang w:val="en-US"/>
        </w:rPr>
        <w:t xml:space="preserve"> this section is not meant to address</w:t>
      </w:r>
      <w:r w:rsidR="00283395">
        <w:rPr>
          <w:lang w:val="en-US"/>
        </w:rPr>
        <w:t xml:space="preserve"> </w:t>
      </w:r>
      <w:r>
        <w:rPr>
          <w:lang w:val="en-US"/>
        </w:rPr>
        <w:t xml:space="preserve">individualized complaints </w:t>
      </w:r>
      <w:r w:rsidR="00283395">
        <w:rPr>
          <w:lang w:val="en-US"/>
        </w:rPr>
        <w:t>of discrimination</w:t>
      </w:r>
      <w:r>
        <w:rPr>
          <w:lang w:val="en-US"/>
        </w:rPr>
        <w:t xml:space="preserve">. </w:t>
      </w:r>
      <w:r w:rsidR="001A33D7">
        <w:rPr>
          <w:lang w:val="en-US"/>
        </w:rPr>
        <w:t xml:space="preserve">Irrespective of </w:t>
      </w:r>
      <w:r w:rsidR="00283395">
        <w:rPr>
          <w:lang w:val="en-US"/>
        </w:rPr>
        <w:t>the existence of accessibility legislation in the federal sphere, t</w:t>
      </w:r>
      <w:r>
        <w:rPr>
          <w:lang w:val="en-US"/>
        </w:rPr>
        <w:t xml:space="preserve">here will </w:t>
      </w:r>
      <w:r w:rsidR="00283395">
        <w:rPr>
          <w:lang w:val="en-US"/>
        </w:rPr>
        <w:t xml:space="preserve">undoubtedly </w:t>
      </w:r>
      <w:r>
        <w:rPr>
          <w:lang w:val="en-US"/>
        </w:rPr>
        <w:t>still be instances in which individual</w:t>
      </w:r>
      <w:r w:rsidR="00283395">
        <w:rPr>
          <w:lang w:val="en-US"/>
        </w:rPr>
        <w:t>s</w:t>
      </w:r>
      <w:r>
        <w:rPr>
          <w:lang w:val="en-US"/>
        </w:rPr>
        <w:t xml:space="preserve"> suffer personalized discrimination</w:t>
      </w:r>
      <w:r w:rsidR="00283395">
        <w:rPr>
          <w:lang w:val="en-US"/>
        </w:rPr>
        <w:t>. T</w:t>
      </w:r>
      <w:r>
        <w:rPr>
          <w:lang w:val="en-US"/>
        </w:rPr>
        <w:t xml:space="preserve">hese matters should still be pursuable through the </w:t>
      </w:r>
      <w:r w:rsidRPr="009C6C22">
        <w:rPr>
          <w:i/>
          <w:lang w:val="en-US"/>
        </w:rPr>
        <w:t>Canadian Human Rights Act</w:t>
      </w:r>
      <w:r>
        <w:rPr>
          <w:lang w:val="en-US"/>
        </w:rPr>
        <w:t>.</w:t>
      </w:r>
    </w:p>
    <w:p w:rsidR="006C5EBE" w:rsidRDefault="00175D90" w:rsidP="00054F8F">
      <w:pPr>
        <w:spacing w:after="0"/>
        <w:jc w:val="both"/>
        <w:rPr>
          <w:lang w:val="en-US"/>
        </w:rPr>
      </w:pPr>
      <w:r>
        <w:rPr>
          <w:lang w:val="en-US"/>
        </w:rPr>
        <w:t xml:space="preserve">As seen by the Ontario example above, audits are another tool </w:t>
      </w:r>
      <w:r w:rsidR="00217FE3">
        <w:rPr>
          <w:lang w:val="en-US"/>
        </w:rPr>
        <w:t>that may be used f</w:t>
      </w:r>
      <w:r>
        <w:rPr>
          <w:lang w:val="en-US"/>
        </w:rPr>
        <w:t>o</w:t>
      </w:r>
      <w:r w:rsidR="00217FE3">
        <w:rPr>
          <w:lang w:val="en-US"/>
        </w:rPr>
        <w:t>r</w:t>
      </w:r>
      <w:r>
        <w:rPr>
          <w:lang w:val="en-US"/>
        </w:rPr>
        <w:t xml:space="preserve"> determin</w:t>
      </w:r>
      <w:r w:rsidR="00217FE3">
        <w:rPr>
          <w:lang w:val="en-US"/>
        </w:rPr>
        <w:t>ing</w:t>
      </w:r>
      <w:r>
        <w:rPr>
          <w:lang w:val="en-US"/>
        </w:rPr>
        <w:t xml:space="preserve"> compliance with standards.</w:t>
      </w:r>
      <w:r w:rsidR="005500E0" w:rsidRPr="005500E0">
        <w:rPr>
          <w:lang w:val="en-US"/>
        </w:rPr>
        <w:t xml:space="preserve"> </w:t>
      </w:r>
      <w:r w:rsidR="00D95BC2">
        <w:rPr>
          <w:lang w:val="en-US"/>
        </w:rPr>
        <w:t>Currently, auditing</w:t>
      </w:r>
      <w:r w:rsidR="003922AC" w:rsidRPr="003922AC">
        <w:rPr>
          <w:lang w:val="en-US"/>
        </w:rPr>
        <w:t xml:space="preserve"> </w:t>
      </w:r>
      <w:r w:rsidR="003922AC">
        <w:rPr>
          <w:lang w:val="en-US"/>
        </w:rPr>
        <w:t>processes</w:t>
      </w:r>
      <w:r w:rsidR="00D95BC2">
        <w:rPr>
          <w:lang w:val="en-US"/>
        </w:rPr>
        <w:t xml:space="preserve"> </w:t>
      </w:r>
      <w:r w:rsidR="003922AC">
        <w:rPr>
          <w:lang w:val="en-US"/>
        </w:rPr>
        <w:t>are</w:t>
      </w:r>
      <w:r w:rsidR="00D95BC2">
        <w:rPr>
          <w:lang w:val="en-US"/>
        </w:rPr>
        <w:t xml:space="preserve"> not </w:t>
      </w:r>
      <w:r w:rsidR="006D191A">
        <w:rPr>
          <w:lang w:val="en-US"/>
        </w:rPr>
        <w:t>detailed</w:t>
      </w:r>
      <w:r w:rsidR="00D95BC2">
        <w:rPr>
          <w:lang w:val="en-US"/>
        </w:rPr>
        <w:t xml:space="preserve"> in any Canadian</w:t>
      </w:r>
      <w:r w:rsidR="00217FE3">
        <w:rPr>
          <w:lang w:val="en-US"/>
        </w:rPr>
        <w:t xml:space="preserve"> accessibility legislation</w:t>
      </w:r>
      <w:r w:rsidR="00D95BC2">
        <w:rPr>
          <w:lang w:val="en-US"/>
        </w:rPr>
        <w:t xml:space="preserve">. Instead, </w:t>
      </w:r>
      <w:r w:rsidR="003922AC">
        <w:rPr>
          <w:lang w:val="en-US"/>
        </w:rPr>
        <w:t>they are</w:t>
      </w:r>
      <w:r w:rsidR="00D95BC2">
        <w:rPr>
          <w:lang w:val="en-US"/>
        </w:rPr>
        <w:t xml:space="preserve"> designed by the government officials responsible for overseeing compliance with accessibility standards</w:t>
      </w:r>
      <w:r w:rsidR="00283395" w:rsidRPr="00283395">
        <w:rPr>
          <w:lang w:val="en-US"/>
        </w:rPr>
        <w:t xml:space="preserve"> </w:t>
      </w:r>
      <w:r w:rsidR="00283395">
        <w:rPr>
          <w:lang w:val="en-US"/>
        </w:rPr>
        <w:t>and their enforcement</w:t>
      </w:r>
      <w:r w:rsidR="00D95BC2">
        <w:rPr>
          <w:lang w:val="en-US"/>
        </w:rPr>
        <w:t>.</w:t>
      </w:r>
      <w:r w:rsidR="00F126FC">
        <w:rPr>
          <w:lang w:val="en-US"/>
        </w:rPr>
        <w:t xml:space="preserve">  </w:t>
      </w:r>
      <w:r w:rsidR="009E3C8F">
        <w:rPr>
          <w:lang w:val="en-US"/>
        </w:rPr>
        <w:t xml:space="preserve">Ontario, which </w:t>
      </w:r>
      <w:r w:rsidR="00CC7FF6">
        <w:rPr>
          <w:lang w:val="en-US"/>
        </w:rPr>
        <w:t>has</w:t>
      </w:r>
      <w:r w:rsidR="009E3C8F">
        <w:rPr>
          <w:lang w:val="en-US"/>
        </w:rPr>
        <w:t xml:space="preserve"> had the most extensive experience with audits</w:t>
      </w:r>
      <w:r w:rsidR="00FC1B81">
        <w:rPr>
          <w:lang w:val="en-US"/>
        </w:rPr>
        <w:t>,</w:t>
      </w:r>
      <w:r w:rsidR="009E3C8F">
        <w:rPr>
          <w:lang w:val="en-US"/>
        </w:rPr>
        <w:t xml:space="preserve"> has </w:t>
      </w:r>
      <w:r w:rsidR="00CC7FF6">
        <w:rPr>
          <w:lang w:val="en-US"/>
        </w:rPr>
        <w:t xml:space="preserve">instituted </w:t>
      </w:r>
      <w:r w:rsidR="009E3C8F">
        <w:rPr>
          <w:lang w:val="en-US"/>
        </w:rPr>
        <w:t>a two-phase system of auditing. Phase 1 audits</w:t>
      </w:r>
      <w:r w:rsidR="00D95BC2">
        <w:rPr>
          <w:lang w:val="en-US"/>
        </w:rPr>
        <w:t xml:space="preserve"> </w:t>
      </w:r>
      <w:r w:rsidR="00CC7FF6">
        <w:rPr>
          <w:lang w:val="en-US"/>
        </w:rPr>
        <w:t xml:space="preserve">focus on ensuring that entities have met their reporting requirements. </w:t>
      </w:r>
      <w:r w:rsidR="00656C41">
        <w:rPr>
          <w:lang w:val="en-US"/>
        </w:rPr>
        <w:t xml:space="preserve">During a Phase 2 audit, the Compliance and Enforcement Branch of the ADO aims to verify </w:t>
      </w:r>
      <w:r w:rsidR="00FC1B81">
        <w:rPr>
          <w:lang w:val="en-US"/>
        </w:rPr>
        <w:t>an organization’s compliance with the substantive requirements of the standards.</w:t>
      </w:r>
      <w:r w:rsidR="00DB4558">
        <w:rPr>
          <w:rStyle w:val="FootnoteReference"/>
          <w:lang w:val="en-US"/>
        </w:rPr>
        <w:footnoteReference w:id="39"/>
      </w:r>
      <w:r w:rsidR="00FC1B81">
        <w:rPr>
          <w:lang w:val="en-US"/>
        </w:rPr>
        <w:t xml:space="preserve"> </w:t>
      </w:r>
      <w:r w:rsidR="006D191A">
        <w:rPr>
          <w:lang w:val="en-US"/>
        </w:rPr>
        <w:t xml:space="preserve"> </w:t>
      </w:r>
      <w:r w:rsidR="00DB4558">
        <w:rPr>
          <w:lang w:val="en-US"/>
        </w:rPr>
        <w:t>The Compliance and Enforcement Branch reports that its audit exercise in 2016 was effective</w:t>
      </w:r>
      <w:r w:rsidR="0095656C">
        <w:rPr>
          <w:lang w:val="en-US"/>
        </w:rPr>
        <w:t xml:space="preserve">. </w:t>
      </w:r>
      <w:r w:rsidR="00085289">
        <w:rPr>
          <w:lang w:val="en-US"/>
        </w:rPr>
        <w:t>In particular</w:t>
      </w:r>
      <w:r w:rsidR="0095656C">
        <w:rPr>
          <w:lang w:val="en-US"/>
        </w:rPr>
        <w:t xml:space="preserve">, 95% of the </w:t>
      </w:r>
      <w:r w:rsidR="00085289">
        <w:rPr>
          <w:lang w:val="en-US"/>
        </w:rPr>
        <w:t xml:space="preserve">organizations audited at </w:t>
      </w:r>
      <w:r w:rsidR="0095656C">
        <w:rPr>
          <w:lang w:val="en-US"/>
        </w:rPr>
        <w:t>Phase 1 complied with reporting requirements and did not need to be subjected to a Phase 2 audit.</w:t>
      </w:r>
      <w:r w:rsidR="0095656C">
        <w:rPr>
          <w:rStyle w:val="FootnoteReference"/>
          <w:lang w:val="en-US"/>
        </w:rPr>
        <w:footnoteReference w:id="40"/>
      </w:r>
      <w:r w:rsidR="00656C41">
        <w:rPr>
          <w:lang w:val="en-US"/>
        </w:rPr>
        <w:t xml:space="preserve"> </w:t>
      </w:r>
    </w:p>
    <w:p w:rsidR="006C5EBE" w:rsidRDefault="006C5EBE" w:rsidP="00054F8F">
      <w:pPr>
        <w:spacing w:after="0"/>
        <w:jc w:val="both"/>
        <w:rPr>
          <w:lang w:val="en-US"/>
        </w:rPr>
      </w:pPr>
    </w:p>
    <w:p w:rsidR="00DF359B" w:rsidRDefault="006C5EBE" w:rsidP="00085289">
      <w:pPr>
        <w:spacing w:after="0"/>
        <w:jc w:val="both"/>
        <w:rPr>
          <w:lang w:val="en-US"/>
        </w:rPr>
      </w:pPr>
      <w:r>
        <w:rPr>
          <w:lang w:val="en-US"/>
        </w:rPr>
        <w:t>Auditing may be a useful exercise within the implementation of the proposed federal accessibility legislation. A</w:t>
      </w:r>
      <w:r w:rsidR="005500E0">
        <w:rPr>
          <w:lang w:val="en-US"/>
        </w:rPr>
        <w:t xml:space="preserve"> lesson to be taken from the United States is that knowing that the government is serious about pursuing violations can help greatly with encouraging overall compliance.</w:t>
      </w:r>
      <w:r>
        <w:rPr>
          <w:rStyle w:val="FootnoteReference"/>
          <w:lang w:val="en-US"/>
        </w:rPr>
        <w:footnoteReference w:id="41"/>
      </w:r>
      <w:r w:rsidR="005500E0">
        <w:rPr>
          <w:lang w:val="en-US"/>
        </w:rPr>
        <w:t xml:space="preserve"> </w:t>
      </w:r>
      <w:r w:rsidR="00DF359B">
        <w:rPr>
          <w:lang w:val="en-US"/>
        </w:rPr>
        <w:t xml:space="preserve"> </w:t>
      </w:r>
      <w:r w:rsidR="00085289">
        <w:rPr>
          <w:lang w:val="en-US"/>
        </w:rPr>
        <w:t>Under the proposed federal accessibility legislation,</w:t>
      </w:r>
      <w:r w:rsidR="00175D90">
        <w:rPr>
          <w:lang w:val="en-US"/>
        </w:rPr>
        <w:t xml:space="preserve"> </w:t>
      </w:r>
      <w:r w:rsidR="00DC7864">
        <w:rPr>
          <w:lang w:val="en-US"/>
        </w:rPr>
        <w:t xml:space="preserve">audits </w:t>
      </w:r>
      <w:r w:rsidR="00085289">
        <w:rPr>
          <w:lang w:val="en-US"/>
        </w:rPr>
        <w:t xml:space="preserve">could be </w:t>
      </w:r>
      <w:r w:rsidR="00DC7864">
        <w:rPr>
          <w:lang w:val="en-US"/>
        </w:rPr>
        <w:t xml:space="preserve">initiated by the Office of Disability Issues or a similarly placed government department. </w:t>
      </w:r>
      <w:r w:rsidR="00085289">
        <w:rPr>
          <w:lang w:val="en-US"/>
        </w:rPr>
        <w:t>In order to bring forward human rights principles and values in the auditing process, the federal government c</w:t>
      </w:r>
      <w:r w:rsidR="00233FE5">
        <w:rPr>
          <w:lang w:val="en-US"/>
        </w:rPr>
        <w:t>ould collaborate with the Canadian Human Rights Commission. Their experience with auditing</w:t>
      </w:r>
      <w:r w:rsidR="00054F8F">
        <w:rPr>
          <w:lang w:val="en-US"/>
        </w:rPr>
        <w:t>,</w:t>
      </w:r>
      <w:r w:rsidR="00233FE5">
        <w:rPr>
          <w:lang w:val="en-US"/>
        </w:rPr>
        <w:t xml:space="preserve"> </w:t>
      </w:r>
      <w:r w:rsidR="009C6C22">
        <w:rPr>
          <w:lang w:val="en-US"/>
        </w:rPr>
        <w:t xml:space="preserve">especially in the </w:t>
      </w:r>
      <w:r w:rsidR="00233FE5">
        <w:rPr>
          <w:lang w:val="en-US"/>
        </w:rPr>
        <w:t xml:space="preserve">areas of employment </w:t>
      </w:r>
      <w:r w:rsidR="009C6C22">
        <w:rPr>
          <w:lang w:val="en-US"/>
        </w:rPr>
        <w:t xml:space="preserve">and pay </w:t>
      </w:r>
      <w:r w:rsidR="00233FE5">
        <w:rPr>
          <w:lang w:val="en-US"/>
        </w:rPr>
        <w:t>equity</w:t>
      </w:r>
      <w:r w:rsidR="00054F8F">
        <w:rPr>
          <w:lang w:val="en-US"/>
        </w:rPr>
        <w:t>,</w:t>
      </w:r>
      <w:r w:rsidR="00233FE5">
        <w:rPr>
          <w:lang w:val="en-US"/>
        </w:rPr>
        <w:t xml:space="preserve"> </w:t>
      </w:r>
      <w:r w:rsidR="004E0D5D">
        <w:rPr>
          <w:lang w:val="en-US"/>
        </w:rPr>
        <w:t xml:space="preserve">could be beneficially transferred to the context of accessibility standard compliance auditing.  </w:t>
      </w:r>
      <w:r w:rsidR="00233FE5">
        <w:rPr>
          <w:lang w:val="en-US"/>
        </w:rPr>
        <w:t>Moreover, the Canadian Human Rights Commission</w:t>
      </w:r>
      <w:r w:rsidR="004E0D5D">
        <w:rPr>
          <w:lang w:val="en-US"/>
        </w:rPr>
        <w:t xml:space="preserve">’s </w:t>
      </w:r>
      <w:r w:rsidR="00233FE5">
        <w:rPr>
          <w:lang w:val="en-US"/>
        </w:rPr>
        <w:t>assist</w:t>
      </w:r>
      <w:r w:rsidR="004E0D5D">
        <w:rPr>
          <w:lang w:val="en-US"/>
        </w:rPr>
        <w:t>ance</w:t>
      </w:r>
      <w:r w:rsidR="00233FE5">
        <w:rPr>
          <w:lang w:val="en-US"/>
        </w:rPr>
        <w:t xml:space="preserve"> </w:t>
      </w:r>
      <w:r w:rsidR="004E0D5D">
        <w:rPr>
          <w:lang w:val="en-US"/>
        </w:rPr>
        <w:t>c</w:t>
      </w:r>
      <w:r w:rsidR="002D3CF2">
        <w:rPr>
          <w:lang w:val="en-US"/>
        </w:rPr>
        <w:t>ould</w:t>
      </w:r>
      <w:r w:rsidR="00233FE5">
        <w:rPr>
          <w:lang w:val="en-US"/>
        </w:rPr>
        <w:t xml:space="preserve"> further the goals of addressing intersectional concerns and striving for inclusive equality</w:t>
      </w:r>
      <w:r w:rsidR="009C6C22">
        <w:rPr>
          <w:lang w:val="en-US"/>
        </w:rPr>
        <w:t xml:space="preserve"> in the </w:t>
      </w:r>
      <w:r w:rsidR="00054F8F">
        <w:rPr>
          <w:lang w:val="en-US"/>
        </w:rPr>
        <w:t xml:space="preserve">implementation </w:t>
      </w:r>
      <w:r w:rsidR="009C6C22">
        <w:rPr>
          <w:lang w:val="en-US"/>
        </w:rPr>
        <w:t xml:space="preserve">of the accessibility legislation governance </w:t>
      </w:r>
      <w:r w:rsidR="004E0D5D">
        <w:rPr>
          <w:lang w:val="en-US"/>
        </w:rPr>
        <w:t>system</w:t>
      </w:r>
      <w:r w:rsidR="00233FE5">
        <w:rPr>
          <w:lang w:val="en-US"/>
        </w:rPr>
        <w:t>.</w:t>
      </w:r>
      <w:r w:rsidR="00BD550B" w:rsidRPr="00BD550B">
        <w:rPr>
          <w:lang w:val="en-US"/>
        </w:rPr>
        <w:t xml:space="preserve"> </w:t>
      </w:r>
    </w:p>
    <w:p w:rsidR="00DF359B" w:rsidRDefault="00DF359B" w:rsidP="00054F8F">
      <w:pPr>
        <w:spacing w:after="0"/>
        <w:jc w:val="both"/>
        <w:rPr>
          <w:lang w:val="en-US"/>
        </w:rPr>
      </w:pPr>
    </w:p>
    <w:p w:rsidR="006B4C35" w:rsidRDefault="006B4C35" w:rsidP="00BE7B74">
      <w:pPr>
        <w:jc w:val="both"/>
        <w:rPr>
          <w:lang w:val="en-US"/>
        </w:rPr>
      </w:pPr>
      <w:r>
        <w:rPr>
          <w:lang w:val="en-US"/>
        </w:rPr>
        <w:t>In conclusion,</w:t>
      </w:r>
      <w:r w:rsidR="00374EF2">
        <w:rPr>
          <w:lang w:val="en-US"/>
        </w:rPr>
        <w:t xml:space="preserve"> </w:t>
      </w:r>
      <w:r w:rsidR="003A7A92">
        <w:rPr>
          <w:lang w:val="en-US"/>
        </w:rPr>
        <w:t>as a first resort, and similar to what exists in the provinces, there should be a set of procedures for encouraging voluntary compliance under the proposed federal accessibility legislation.</w:t>
      </w:r>
      <w:r w:rsidR="009075A2" w:rsidRPr="009075A2">
        <w:rPr>
          <w:lang w:val="en-US"/>
        </w:rPr>
        <w:t xml:space="preserve"> </w:t>
      </w:r>
      <w:r w:rsidR="009075A2">
        <w:rPr>
          <w:lang w:val="en-US"/>
        </w:rPr>
        <w:t xml:space="preserve">Auditing may be a useful tool </w:t>
      </w:r>
      <w:r w:rsidR="00BD51D0">
        <w:rPr>
          <w:lang w:val="en-US"/>
        </w:rPr>
        <w:t xml:space="preserve">to have </w:t>
      </w:r>
      <w:r w:rsidR="009075A2">
        <w:rPr>
          <w:lang w:val="en-US"/>
        </w:rPr>
        <w:t>within the implementation</w:t>
      </w:r>
      <w:r w:rsidR="00BD51D0">
        <w:rPr>
          <w:lang w:val="en-US"/>
        </w:rPr>
        <w:t xml:space="preserve"> processes</w:t>
      </w:r>
      <w:r w:rsidR="009075A2">
        <w:rPr>
          <w:lang w:val="en-US"/>
        </w:rPr>
        <w:t xml:space="preserve"> of the proposed federal accessibility legislation. </w:t>
      </w:r>
      <w:r w:rsidR="003A7A92">
        <w:rPr>
          <w:lang w:val="en-US"/>
        </w:rPr>
        <w:t xml:space="preserve"> A</w:t>
      </w:r>
      <w:r w:rsidR="00374EF2">
        <w:rPr>
          <w:lang w:val="en-US"/>
        </w:rPr>
        <w:t xml:space="preserve"> robust </w:t>
      </w:r>
      <w:r w:rsidR="006D191A">
        <w:rPr>
          <w:lang w:val="en-US"/>
        </w:rPr>
        <w:t xml:space="preserve">standard </w:t>
      </w:r>
      <w:r w:rsidR="00374EF2">
        <w:rPr>
          <w:lang w:val="en-US"/>
        </w:rPr>
        <w:t xml:space="preserve">enforcement </w:t>
      </w:r>
      <w:r w:rsidR="007C094B">
        <w:rPr>
          <w:lang w:val="en-US"/>
        </w:rPr>
        <w:t>process</w:t>
      </w:r>
      <w:r w:rsidR="00374EF2">
        <w:rPr>
          <w:lang w:val="en-US"/>
        </w:rPr>
        <w:t xml:space="preserve"> should </w:t>
      </w:r>
      <w:r w:rsidR="009075A2">
        <w:rPr>
          <w:lang w:val="en-US"/>
        </w:rPr>
        <w:t xml:space="preserve">also </w:t>
      </w:r>
      <w:r w:rsidR="00374EF2">
        <w:rPr>
          <w:lang w:val="en-US"/>
        </w:rPr>
        <w:t>have a place for complaints by members of t</w:t>
      </w:r>
      <w:r w:rsidR="00E254B0">
        <w:rPr>
          <w:lang w:val="en-US"/>
        </w:rPr>
        <w:t xml:space="preserve">he public. </w:t>
      </w:r>
      <w:r w:rsidR="00374EF2">
        <w:rPr>
          <w:lang w:val="en-US"/>
        </w:rPr>
        <w:t xml:space="preserve">Public enforcement </w:t>
      </w:r>
      <w:r w:rsidR="009075A2">
        <w:rPr>
          <w:lang w:val="en-US"/>
        </w:rPr>
        <w:t xml:space="preserve">cases </w:t>
      </w:r>
      <w:r w:rsidR="00374EF2">
        <w:rPr>
          <w:lang w:val="en-US"/>
        </w:rPr>
        <w:t xml:space="preserve">may be </w:t>
      </w:r>
      <w:r w:rsidR="009075A2">
        <w:rPr>
          <w:lang w:val="en-US"/>
        </w:rPr>
        <w:t>prosecuted</w:t>
      </w:r>
      <w:r w:rsidR="00374EF2">
        <w:rPr>
          <w:lang w:val="en-US"/>
        </w:rPr>
        <w:t xml:space="preserve"> by the Canadian Human </w:t>
      </w:r>
      <w:r w:rsidR="00E254B0">
        <w:rPr>
          <w:lang w:val="en-US"/>
        </w:rPr>
        <w:t>R</w:t>
      </w:r>
      <w:r w:rsidR="00374EF2">
        <w:rPr>
          <w:lang w:val="en-US"/>
        </w:rPr>
        <w:t>ights Commission</w:t>
      </w:r>
      <w:r w:rsidR="00E254B0">
        <w:rPr>
          <w:lang w:val="en-US"/>
        </w:rPr>
        <w:t>, wh</w:t>
      </w:r>
      <w:r w:rsidR="00961A12">
        <w:rPr>
          <w:lang w:val="en-US"/>
        </w:rPr>
        <w:t>ich</w:t>
      </w:r>
      <w:r w:rsidR="00E254B0">
        <w:rPr>
          <w:lang w:val="en-US"/>
        </w:rPr>
        <w:t xml:space="preserve"> </w:t>
      </w:r>
      <w:r w:rsidR="007A7E2C">
        <w:rPr>
          <w:lang w:val="en-US"/>
        </w:rPr>
        <w:t xml:space="preserve">would act </w:t>
      </w:r>
      <w:r w:rsidR="00E254B0">
        <w:rPr>
          <w:lang w:val="en-US"/>
        </w:rPr>
        <w:t xml:space="preserve">on behalf of the complainant, </w:t>
      </w:r>
      <w:r w:rsidR="00374EF2">
        <w:rPr>
          <w:lang w:val="en-US"/>
        </w:rPr>
        <w:t xml:space="preserve">and the complaints </w:t>
      </w:r>
      <w:r w:rsidR="00253F9A">
        <w:rPr>
          <w:lang w:val="en-US"/>
        </w:rPr>
        <w:t>could</w:t>
      </w:r>
      <w:r w:rsidR="00374EF2">
        <w:rPr>
          <w:lang w:val="en-US"/>
        </w:rPr>
        <w:t xml:space="preserve"> be determined by the Canadian Human Rights Tribunal. In terms of outcomes, injunctive relief requiring compliance with the standard is appropriate. This enforcement system </w:t>
      </w:r>
      <w:r w:rsidR="00253F9A">
        <w:rPr>
          <w:lang w:val="en-US"/>
        </w:rPr>
        <w:t>would</w:t>
      </w:r>
      <w:r w:rsidR="00374EF2">
        <w:rPr>
          <w:lang w:val="en-US"/>
        </w:rPr>
        <w:t xml:space="preserve"> not preclude individuals from pursuing individualized complaints based on violations of the </w:t>
      </w:r>
      <w:r w:rsidR="00374EF2" w:rsidRPr="007A7E2C">
        <w:rPr>
          <w:i/>
          <w:lang w:val="en-US"/>
        </w:rPr>
        <w:t>Canadian Human Rights Ac</w:t>
      </w:r>
      <w:r w:rsidR="00374EF2">
        <w:rPr>
          <w:lang w:val="en-US"/>
        </w:rPr>
        <w:t xml:space="preserve">t or another </w:t>
      </w:r>
      <w:r w:rsidR="007A7E2C">
        <w:rPr>
          <w:lang w:val="en-US"/>
        </w:rPr>
        <w:t xml:space="preserve">pertinent </w:t>
      </w:r>
      <w:r w:rsidR="00BD51D0">
        <w:rPr>
          <w:lang w:val="en-US"/>
        </w:rPr>
        <w:t xml:space="preserve">human rights </w:t>
      </w:r>
      <w:r w:rsidR="00374EF2">
        <w:rPr>
          <w:lang w:val="en-US"/>
        </w:rPr>
        <w:t>related statute.</w:t>
      </w:r>
    </w:p>
    <w:p w:rsidR="002F0AE0" w:rsidRDefault="002F0AE0" w:rsidP="00BE7B74">
      <w:pPr>
        <w:jc w:val="both"/>
        <w:rPr>
          <w:lang w:val="en-US"/>
        </w:rPr>
      </w:pPr>
    </w:p>
    <w:p w:rsidR="00AD2838" w:rsidRDefault="00AD2838" w:rsidP="003978C7">
      <w:pPr>
        <w:pStyle w:val="Heading2"/>
        <w:numPr>
          <w:ilvl w:val="0"/>
          <w:numId w:val="26"/>
        </w:numPr>
        <w:rPr>
          <w:lang w:val="en-US"/>
        </w:rPr>
      </w:pPr>
      <w:bookmarkStart w:id="13" w:name="_Toc505751501"/>
      <w:r>
        <w:rPr>
          <w:lang w:val="en-US"/>
        </w:rPr>
        <w:t>The Enforcement of D</w:t>
      </w:r>
      <w:r w:rsidRPr="009D7380">
        <w:rPr>
          <w:lang w:val="en-US"/>
        </w:rPr>
        <w:t>ecisions</w:t>
      </w:r>
      <w:bookmarkEnd w:id="13"/>
    </w:p>
    <w:p w:rsidR="00570C17" w:rsidRDefault="00570C17" w:rsidP="00961A12">
      <w:pPr>
        <w:spacing w:after="0"/>
        <w:jc w:val="both"/>
        <w:rPr>
          <w:lang w:val="en-US"/>
        </w:rPr>
      </w:pPr>
    </w:p>
    <w:p w:rsidR="009848EC" w:rsidRDefault="00C07DBA" w:rsidP="009848EC">
      <w:pPr>
        <w:spacing w:after="0"/>
        <w:jc w:val="both"/>
        <w:rPr>
          <w:lang w:val="en-US"/>
        </w:rPr>
      </w:pPr>
      <w:r>
        <w:rPr>
          <w:lang w:val="en-US"/>
        </w:rPr>
        <w:t>Accessibility legislation in Canada does not deal with individual complaints</w:t>
      </w:r>
      <w:r w:rsidR="00384ABD">
        <w:rPr>
          <w:lang w:val="en-US"/>
        </w:rPr>
        <w:t xml:space="preserve"> of disability discrimination</w:t>
      </w:r>
      <w:r>
        <w:rPr>
          <w:lang w:val="en-US"/>
        </w:rPr>
        <w:t xml:space="preserve">. </w:t>
      </w:r>
      <w:r w:rsidR="00961A12" w:rsidRPr="00961A12">
        <w:rPr>
          <w:lang w:val="en-US"/>
        </w:rPr>
        <w:t>T</w:t>
      </w:r>
      <w:r>
        <w:rPr>
          <w:lang w:val="en-US"/>
        </w:rPr>
        <w:t>he</w:t>
      </w:r>
      <w:r w:rsidR="00961A12" w:rsidRPr="00961A12">
        <w:rPr>
          <w:lang w:val="en-US"/>
        </w:rPr>
        <w:t xml:space="preserve"> system does not </w:t>
      </w:r>
      <w:r>
        <w:rPr>
          <w:lang w:val="en-US"/>
        </w:rPr>
        <w:t>receive individualized complaints about discrimination</w:t>
      </w:r>
      <w:r w:rsidR="00DA4E4D">
        <w:rPr>
          <w:lang w:val="en-US"/>
        </w:rPr>
        <w:t>;</w:t>
      </w:r>
      <w:r>
        <w:rPr>
          <w:lang w:val="en-US"/>
        </w:rPr>
        <w:t xml:space="preserve"> </w:t>
      </w:r>
      <w:r w:rsidR="00DA4E4D">
        <w:rPr>
          <w:lang w:val="en-US"/>
        </w:rPr>
        <w:t xml:space="preserve">nor does it </w:t>
      </w:r>
      <w:r w:rsidR="00961A12" w:rsidRPr="00961A12">
        <w:rPr>
          <w:lang w:val="en-US"/>
        </w:rPr>
        <w:t xml:space="preserve">place the </w:t>
      </w:r>
      <w:r w:rsidR="00384ABD">
        <w:rPr>
          <w:lang w:val="en-US"/>
        </w:rPr>
        <w:t xml:space="preserve">principal </w:t>
      </w:r>
      <w:r w:rsidR="00961A12" w:rsidRPr="00961A12">
        <w:rPr>
          <w:lang w:val="en-US"/>
        </w:rPr>
        <w:t xml:space="preserve">burden of identifying </w:t>
      </w:r>
      <w:r w:rsidR="00DA4E4D" w:rsidRPr="00961A12">
        <w:rPr>
          <w:lang w:val="en-US"/>
        </w:rPr>
        <w:t xml:space="preserve">violations </w:t>
      </w:r>
      <w:r w:rsidR="00DA4E4D">
        <w:rPr>
          <w:lang w:val="en-US"/>
        </w:rPr>
        <w:t xml:space="preserve">of regulatory </w:t>
      </w:r>
      <w:r w:rsidR="00961A12" w:rsidRPr="00961A12">
        <w:rPr>
          <w:lang w:val="en-US"/>
        </w:rPr>
        <w:t>standard</w:t>
      </w:r>
      <w:r w:rsidR="00DA4E4D">
        <w:rPr>
          <w:lang w:val="en-US"/>
        </w:rPr>
        <w:t>s</w:t>
      </w:r>
      <w:r w:rsidR="00961A12" w:rsidRPr="00961A12">
        <w:rPr>
          <w:lang w:val="en-US"/>
        </w:rPr>
        <w:t xml:space="preserve"> on members of the </w:t>
      </w:r>
      <w:r w:rsidR="00DA4E4D">
        <w:rPr>
          <w:lang w:val="en-US"/>
        </w:rPr>
        <w:t>public</w:t>
      </w:r>
      <w:r w:rsidR="00961A12" w:rsidRPr="00961A12">
        <w:rPr>
          <w:lang w:val="en-US"/>
        </w:rPr>
        <w:t xml:space="preserve">. In this way, the </w:t>
      </w:r>
      <w:r w:rsidR="006A71DE">
        <w:rPr>
          <w:lang w:val="en-US"/>
        </w:rPr>
        <w:t>process</w:t>
      </w:r>
      <w:r w:rsidR="00961A12" w:rsidRPr="00961A12">
        <w:rPr>
          <w:lang w:val="en-US"/>
        </w:rPr>
        <w:t xml:space="preserve"> is dissimilar to the systems in Australia</w:t>
      </w:r>
      <w:r w:rsidR="00F05FFC">
        <w:rPr>
          <w:lang w:val="en-US"/>
        </w:rPr>
        <w:t xml:space="preserve">, the US </w:t>
      </w:r>
      <w:r w:rsidR="00961A12" w:rsidRPr="00961A12">
        <w:rPr>
          <w:lang w:val="en-US"/>
        </w:rPr>
        <w:t>and the U</w:t>
      </w:r>
      <w:r w:rsidR="00F05FFC">
        <w:rPr>
          <w:lang w:val="en-US"/>
        </w:rPr>
        <w:t>K</w:t>
      </w:r>
      <w:r w:rsidR="00961A12" w:rsidRPr="00961A12">
        <w:rPr>
          <w:lang w:val="en-US"/>
        </w:rPr>
        <w:t>.</w:t>
      </w:r>
      <w:r w:rsidR="00F05FFC">
        <w:rPr>
          <w:rStyle w:val="FootnoteReference"/>
          <w:lang w:val="en-US"/>
        </w:rPr>
        <w:footnoteReference w:id="42"/>
      </w:r>
      <w:r>
        <w:t xml:space="preserve"> </w:t>
      </w:r>
      <w:r w:rsidR="00BA7D7C">
        <w:t xml:space="preserve">In the Canadian provinces that have </w:t>
      </w:r>
      <w:r w:rsidR="00754757">
        <w:t xml:space="preserve">enacted </w:t>
      </w:r>
      <w:r w:rsidR="00BA7D7C">
        <w:t>accessibility legislation</w:t>
      </w:r>
      <w:r w:rsidR="00384ABD">
        <w:t xml:space="preserve"> (</w:t>
      </w:r>
      <w:r w:rsidR="004A203A">
        <w:t xml:space="preserve">namely, </w:t>
      </w:r>
      <w:r w:rsidR="00384ABD">
        <w:t>Ontario, Manitoba and Nova Scotia)</w:t>
      </w:r>
      <w:r w:rsidR="00BA7D7C">
        <w:t xml:space="preserve">, </w:t>
      </w:r>
      <w:r w:rsidR="009B5175">
        <w:t xml:space="preserve">directors of compliance </w:t>
      </w:r>
      <w:r w:rsidR="000A3AE9">
        <w:t xml:space="preserve">or inspectors </w:t>
      </w:r>
      <w:r w:rsidR="009B5175">
        <w:t xml:space="preserve">may issue </w:t>
      </w:r>
      <w:r w:rsidR="00570C17">
        <w:t xml:space="preserve">orders </w:t>
      </w:r>
      <w:r w:rsidR="003A00FD">
        <w:t xml:space="preserve">requiring an </w:t>
      </w:r>
      <w:r w:rsidR="00570C17">
        <w:t xml:space="preserve">individual </w:t>
      </w:r>
      <w:r w:rsidR="003A00FD">
        <w:t>or</w:t>
      </w:r>
      <w:r w:rsidR="00570C17">
        <w:t xml:space="preserve"> organization</w:t>
      </w:r>
      <w:r w:rsidR="003A00FD">
        <w:t xml:space="preserve"> to </w:t>
      </w:r>
      <w:r w:rsidR="000A3AE9">
        <w:t xml:space="preserve">comply with a standard, </w:t>
      </w:r>
      <w:r w:rsidR="003A00FD">
        <w:t>pay an administrative penalty</w:t>
      </w:r>
      <w:r w:rsidR="00570C17">
        <w:t xml:space="preserve"> </w:t>
      </w:r>
      <w:r w:rsidR="000A3AE9">
        <w:t>or both</w:t>
      </w:r>
      <w:r>
        <w:t xml:space="preserve">. </w:t>
      </w:r>
      <w:r w:rsidR="00570C17">
        <w:t>The discussion in this section therefore</w:t>
      </w:r>
      <w:r>
        <w:t xml:space="preserve"> relates to the enforcement of orders that have been imposed on noncompliant entities.</w:t>
      </w:r>
    </w:p>
    <w:p w:rsidR="009848EC" w:rsidRDefault="009848EC" w:rsidP="009848EC">
      <w:pPr>
        <w:spacing w:after="0"/>
        <w:jc w:val="both"/>
        <w:rPr>
          <w:lang w:val="en-US"/>
        </w:rPr>
      </w:pPr>
    </w:p>
    <w:p w:rsidR="00150C3A" w:rsidRPr="009848EC" w:rsidRDefault="007E4F77" w:rsidP="007E4F77">
      <w:pPr>
        <w:spacing w:after="0"/>
        <w:jc w:val="both"/>
        <w:rPr>
          <w:lang w:val="en-US"/>
        </w:rPr>
      </w:pPr>
      <w:r>
        <w:t>Alt</w:t>
      </w:r>
      <w:r w:rsidR="00150C3A">
        <w:t xml:space="preserve">hough there may be </w:t>
      </w:r>
      <w:r w:rsidR="007E466D">
        <w:t>some</w:t>
      </w:r>
      <w:r w:rsidR="00150C3A">
        <w:t xml:space="preserve"> variation</w:t>
      </w:r>
      <w:r w:rsidR="007E466D">
        <w:t xml:space="preserve"> across the provinces</w:t>
      </w:r>
      <w:r w:rsidR="00AB23A1">
        <w:t xml:space="preserve"> of Ontario, Manitoba and Nova Scotia</w:t>
      </w:r>
      <w:r w:rsidR="00150C3A">
        <w:t>, the steps</w:t>
      </w:r>
      <w:r w:rsidR="00AB23A1">
        <w:t xml:space="preserve"> </w:t>
      </w:r>
      <w:r w:rsidR="0051787D">
        <w:t>pertinent to</w:t>
      </w:r>
      <w:r w:rsidR="00AB23A1">
        <w:t xml:space="preserve"> compliance orders</w:t>
      </w:r>
      <w:r w:rsidR="00150C3A">
        <w:t xml:space="preserve"> </w:t>
      </w:r>
      <w:r w:rsidR="00754757">
        <w:t xml:space="preserve">typically </w:t>
      </w:r>
      <w:r w:rsidR="00150C3A">
        <w:t>involve</w:t>
      </w:r>
      <w:r w:rsidR="002D5292">
        <w:rPr>
          <w:rStyle w:val="FootnoteReference"/>
        </w:rPr>
        <w:footnoteReference w:id="43"/>
      </w:r>
      <w:r w:rsidR="00150C3A">
        <w:t>:</w:t>
      </w:r>
    </w:p>
    <w:p w:rsidR="00460C06" w:rsidRDefault="00150C3A" w:rsidP="007E4F77">
      <w:pPr>
        <w:pStyle w:val="ListParagraph"/>
        <w:numPr>
          <w:ilvl w:val="0"/>
          <w:numId w:val="33"/>
        </w:numPr>
        <w:jc w:val="both"/>
      </w:pPr>
      <w:r>
        <w:t>first, the issuing of an order of compl</w:t>
      </w:r>
      <w:r w:rsidR="00F721DA">
        <w:t>ia</w:t>
      </w:r>
      <w:r>
        <w:t>n</w:t>
      </w:r>
      <w:r w:rsidR="00F721DA">
        <w:t>ce</w:t>
      </w:r>
      <w:r w:rsidR="00933E2A">
        <w:t>,</w:t>
      </w:r>
      <w:r w:rsidR="001D37B2">
        <w:rPr>
          <w:rStyle w:val="FootnoteReference"/>
        </w:rPr>
        <w:footnoteReference w:id="44"/>
      </w:r>
      <w:r w:rsidR="00933E2A">
        <w:t xml:space="preserve"> </w:t>
      </w:r>
      <w:r w:rsidR="005F020D">
        <w:t>with or without</w:t>
      </w:r>
      <w:r>
        <w:t xml:space="preserve"> </w:t>
      </w:r>
      <w:r w:rsidR="00F721DA">
        <w:t xml:space="preserve">an </w:t>
      </w:r>
      <w:r w:rsidR="00A82722">
        <w:t xml:space="preserve">order for an </w:t>
      </w:r>
      <w:r>
        <w:t>administrative penalty</w:t>
      </w:r>
      <w:r w:rsidR="005F020D">
        <w:t>,</w:t>
      </w:r>
      <w:r w:rsidR="003826D2">
        <w:rPr>
          <w:rStyle w:val="FootnoteReference"/>
        </w:rPr>
        <w:footnoteReference w:id="45"/>
      </w:r>
      <w:r w:rsidR="005F020D">
        <w:t xml:space="preserve"> </w:t>
      </w:r>
      <w:r>
        <w:t xml:space="preserve">for not meeting reporting requirements or for </w:t>
      </w:r>
      <w:r w:rsidR="005F020D">
        <w:t>a</w:t>
      </w:r>
      <w:r>
        <w:t xml:space="preserve"> substantive violation of the standard;</w:t>
      </w:r>
      <w:r w:rsidR="00460C06">
        <w:t xml:space="preserve"> </w:t>
      </w:r>
      <w:r w:rsidR="001D37B2">
        <w:t xml:space="preserve">a </w:t>
      </w:r>
      <w:r w:rsidR="00460C06">
        <w:t>notice that further administrative penalties may result from the failure to comply</w:t>
      </w:r>
      <w:r w:rsidR="00754757">
        <w:t xml:space="preserve"> will also be given</w:t>
      </w:r>
      <w:r w:rsidR="00460C06">
        <w:t xml:space="preserve">; </w:t>
      </w:r>
    </w:p>
    <w:p w:rsidR="00150C3A" w:rsidRDefault="00150C3A" w:rsidP="007E4F77">
      <w:pPr>
        <w:pStyle w:val="ListParagraph"/>
        <w:numPr>
          <w:ilvl w:val="0"/>
          <w:numId w:val="33"/>
        </w:numPr>
        <w:jc w:val="both"/>
      </w:pPr>
      <w:r>
        <w:t xml:space="preserve">an opportunity for the entity </w:t>
      </w:r>
      <w:r w:rsidR="00933E2A">
        <w:t xml:space="preserve">that </w:t>
      </w:r>
      <w:r>
        <w:t xml:space="preserve">has received the order to ask for </w:t>
      </w:r>
      <w:r w:rsidR="00933E2A">
        <w:t>a</w:t>
      </w:r>
      <w:r w:rsidR="00AC7100">
        <w:t xml:space="preserve"> review</w:t>
      </w:r>
      <w:r w:rsidR="00933E2A">
        <w:t xml:space="preserve"> or reconsideration</w:t>
      </w:r>
      <w:r>
        <w:t xml:space="preserve"> from the director of compliance</w:t>
      </w:r>
      <w:r w:rsidR="0051787D">
        <w:t xml:space="preserve"> who</w:t>
      </w:r>
      <w:r w:rsidR="00453E6B">
        <w:t>, in turn,</w:t>
      </w:r>
      <w:r w:rsidR="0051787D">
        <w:t xml:space="preserve"> may </w:t>
      </w:r>
      <w:r w:rsidR="00453E6B">
        <w:t>confirm</w:t>
      </w:r>
      <w:r w:rsidR="0051787D">
        <w:t xml:space="preserve">, vary or rescind the order </w:t>
      </w:r>
      <w:r>
        <w:t>;</w:t>
      </w:r>
      <w:r w:rsidR="00AC3EFF">
        <w:rPr>
          <w:rStyle w:val="FootnoteReference"/>
        </w:rPr>
        <w:footnoteReference w:id="46"/>
      </w:r>
    </w:p>
    <w:p w:rsidR="00902B19" w:rsidRDefault="00902B19" w:rsidP="007E4F77">
      <w:pPr>
        <w:pStyle w:val="ListParagraph"/>
        <w:numPr>
          <w:ilvl w:val="0"/>
          <w:numId w:val="33"/>
        </w:numPr>
        <w:jc w:val="both"/>
      </w:pPr>
      <w:r>
        <w:t xml:space="preserve">a further opportunity for an appeal </w:t>
      </w:r>
      <w:r w:rsidR="00453E6B">
        <w:t>to</w:t>
      </w:r>
      <w:r>
        <w:t xml:space="preserve"> an external tribunal or the  superior court. In Ontario, this appeal is done by the Licensing Appeal Tribunal</w:t>
      </w:r>
      <w:r w:rsidR="00DA3717">
        <w:t xml:space="preserve"> (LAT)</w:t>
      </w:r>
      <w:r>
        <w:t xml:space="preserve">; in Manitoba and Nova Scotia, an appeal may be sought before the superior court; </w:t>
      </w:r>
    </w:p>
    <w:p w:rsidR="00360827" w:rsidRDefault="008522E6" w:rsidP="007E4F77">
      <w:pPr>
        <w:pStyle w:val="ListParagraph"/>
        <w:numPr>
          <w:ilvl w:val="0"/>
          <w:numId w:val="33"/>
        </w:numPr>
        <w:jc w:val="both"/>
      </w:pPr>
      <w:r>
        <w:t xml:space="preserve">further administrative penalties may be ordered for lack of compliance </w:t>
      </w:r>
      <w:r w:rsidR="00902B19">
        <w:t>with the previous order if no appeal to the external body has been made</w:t>
      </w:r>
      <w:r w:rsidR="00453E6B">
        <w:t>,</w:t>
      </w:r>
      <w:r w:rsidR="00902B19">
        <w:t xml:space="preserve"> </w:t>
      </w:r>
      <w:r>
        <w:t>or after a decision has been made on appeal and the</w:t>
      </w:r>
      <w:r w:rsidR="00662045">
        <w:t xml:space="preserve">re is </w:t>
      </w:r>
      <w:r>
        <w:t>still</w:t>
      </w:r>
      <w:r w:rsidR="00662045">
        <w:t xml:space="preserve"> a</w:t>
      </w:r>
      <w:r>
        <w:t xml:space="preserve"> failure to comply</w:t>
      </w:r>
      <w:r w:rsidR="009848EC">
        <w:t>;</w:t>
      </w:r>
      <w:r w:rsidR="00EE2E50">
        <w:rPr>
          <w:rStyle w:val="FootnoteReference"/>
        </w:rPr>
        <w:footnoteReference w:id="47"/>
      </w:r>
    </w:p>
    <w:p w:rsidR="00BB5470" w:rsidRDefault="009848EC" w:rsidP="007E4F77">
      <w:pPr>
        <w:jc w:val="both"/>
      </w:pPr>
      <w:r>
        <w:t>Moreover, a</w:t>
      </w:r>
      <w:r w:rsidR="005C1297">
        <w:t>dministrative penalties are</w:t>
      </w:r>
      <w:r>
        <w:t xml:space="preserve"> enforceable at the s</w:t>
      </w:r>
      <w:r w:rsidR="005C1297">
        <w:t xml:space="preserve">uperior </w:t>
      </w:r>
      <w:r>
        <w:t>c</w:t>
      </w:r>
      <w:r w:rsidR="005C1297">
        <w:t>ourt by being filed wit</w:t>
      </w:r>
      <w:r>
        <w:t xml:space="preserve">h the </w:t>
      </w:r>
      <w:r w:rsidR="00453E6B">
        <w:t xml:space="preserve">court </w:t>
      </w:r>
      <w:r>
        <w:t>registrar.</w:t>
      </w:r>
      <w:r w:rsidRPr="009848EC">
        <w:t xml:space="preserve"> </w:t>
      </w:r>
      <w:r>
        <w:t xml:space="preserve">Decisions of administrative actors are </w:t>
      </w:r>
      <w:r w:rsidR="00453E6B">
        <w:t>also generally</w:t>
      </w:r>
      <w:r>
        <w:t xml:space="preserve"> enforceab</w:t>
      </w:r>
      <w:r w:rsidR="00453E6B">
        <w:t>le by registering them in court</w:t>
      </w:r>
      <w:r>
        <w:rPr>
          <w:rStyle w:val="FootnoteReference"/>
        </w:rPr>
        <w:footnoteReference w:id="48"/>
      </w:r>
      <w:r w:rsidR="00453E6B">
        <w:t xml:space="preserve"> and t</w:t>
      </w:r>
      <w:r>
        <w:t>his would include tribunal decisions and compliance</w:t>
      </w:r>
      <w:r w:rsidR="001E1977">
        <w:t xml:space="preserve"> orders</w:t>
      </w:r>
      <w:r>
        <w:t>.</w:t>
      </w:r>
    </w:p>
    <w:p w:rsidR="00945C88" w:rsidRDefault="00BB5470" w:rsidP="007E4F77">
      <w:pPr>
        <w:jc w:val="both"/>
      </w:pPr>
      <w:r>
        <w:t xml:space="preserve">As a final stage, the accessibility legislation in all three provinces allows for the noncompliant entity to face prosecution for an offence. </w:t>
      </w:r>
      <w:r w:rsidR="007D4B07">
        <w:t>In Ontario, failing to comply with an order</w:t>
      </w:r>
      <w:r w:rsidR="007D4B07" w:rsidRPr="007D4B07">
        <w:t xml:space="preserve"> made by a director or the Tribunal</w:t>
      </w:r>
      <w:r w:rsidR="00AC390F">
        <w:t xml:space="preserve"> is one of a number of offenc</w:t>
      </w:r>
      <w:r w:rsidR="007D4B07">
        <w:t xml:space="preserve">es listed under the AODA. </w:t>
      </w:r>
      <w:r w:rsidR="00AC390F">
        <w:t xml:space="preserve">Conviction </w:t>
      </w:r>
      <w:r w:rsidR="006A2AF2">
        <w:t>for</w:t>
      </w:r>
      <w:r w:rsidR="00AC390F">
        <w:t xml:space="preserve"> the offence </w:t>
      </w:r>
      <w:r w:rsidR="007D4B07">
        <w:t xml:space="preserve">can lead to a maximum fine of $50,000 a day </w:t>
      </w:r>
      <w:r w:rsidR="006A2AF2">
        <w:t xml:space="preserve">for individuals </w:t>
      </w:r>
      <w:r w:rsidR="007D4B07">
        <w:t>or $100,000 a day for corporations.</w:t>
      </w:r>
      <w:r w:rsidR="007D4B07" w:rsidRPr="007D4B07">
        <w:t xml:space="preserve"> </w:t>
      </w:r>
      <w:r w:rsidR="006A2AF2">
        <w:rPr>
          <w:rStyle w:val="FootnoteReference"/>
        </w:rPr>
        <w:footnoteReference w:id="49"/>
      </w:r>
      <w:r w:rsidR="007D4B07">
        <w:t xml:space="preserve"> In Manitoba,</w:t>
      </w:r>
      <w:r w:rsidR="00AF19B1">
        <w:t xml:space="preserve"> </w:t>
      </w:r>
      <w:r>
        <w:t>the</w:t>
      </w:r>
      <w:r w:rsidRPr="00BB5470">
        <w:t xml:space="preserve"> </w:t>
      </w:r>
      <w:r>
        <w:t>AMA states that failing to comply with accessibility standard</w:t>
      </w:r>
      <w:r w:rsidR="006A2AF2">
        <w:t>s</w:t>
      </w:r>
      <w:r>
        <w:t xml:space="preserve"> can lead to an offence with a maximum fine of $250,000. However, </w:t>
      </w:r>
      <w:r w:rsidR="00AF19B1">
        <w:t xml:space="preserve">the </w:t>
      </w:r>
      <w:r w:rsidR="006A2AF2">
        <w:t>p</w:t>
      </w:r>
      <w:r w:rsidR="00D7468A">
        <w:t>lace</w:t>
      </w:r>
      <w:r w:rsidR="006A2AF2">
        <w:t>ment</w:t>
      </w:r>
      <w:r w:rsidR="00D7468A">
        <w:t xml:space="preserve"> of</w:t>
      </w:r>
      <w:r w:rsidR="002C12CC">
        <w:t xml:space="preserve"> </w:t>
      </w:r>
      <w:r>
        <w:t>the</w:t>
      </w:r>
      <w:r w:rsidR="002C12CC">
        <w:t xml:space="preserve"> offenc</w:t>
      </w:r>
      <w:r w:rsidR="00AF19B1">
        <w:t xml:space="preserve">e </w:t>
      </w:r>
      <w:r w:rsidR="00D7468A">
        <w:t>within</w:t>
      </w:r>
      <w:r w:rsidR="00E12EC5">
        <w:t xml:space="preserve"> the steps of the enforcement process is less clear.</w:t>
      </w:r>
      <w:r w:rsidR="006A2AF2">
        <w:t xml:space="preserve"> In particular</w:t>
      </w:r>
      <w:r w:rsidR="00D7468A">
        <w:t xml:space="preserve">, the </w:t>
      </w:r>
      <w:r>
        <w:t>AMA</w:t>
      </w:r>
      <w:r w:rsidR="002C12CC">
        <w:t xml:space="preserve"> does not specify whether </w:t>
      </w:r>
      <w:r>
        <w:t xml:space="preserve">prosecution for </w:t>
      </w:r>
      <w:r w:rsidR="006A2AF2">
        <w:t>the</w:t>
      </w:r>
      <w:r>
        <w:t xml:space="preserve"> offen</w:t>
      </w:r>
      <w:r w:rsidR="006A2AF2">
        <w:t>c</w:t>
      </w:r>
      <w:r>
        <w:t xml:space="preserve">e may only </w:t>
      </w:r>
      <w:r w:rsidR="006A2AF2">
        <w:t xml:space="preserve">be pursued </w:t>
      </w:r>
      <w:r w:rsidR="002C12CC">
        <w:t>after an appeal has been decided</w:t>
      </w:r>
      <w:r w:rsidR="00E12EC5">
        <w:t xml:space="preserve">. </w:t>
      </w:r>
      <w:r w:rsidR="00E12EC5">
        <w:rPr>
          <w:rStyle w:val="FootnoteReference"/>
        </w:rPr>
        <w:footnoteReference w:id="50"/>
      </w:r>
      <w:r w:rsidR="002C12CC">
        <w:t xml:space="preserve"> In Nova Scotia,</w:t>
      </w:r>
      <w:r w:rsidR="00511A5A">
        <w:t xml:space="preserve"> the NSAA states that</w:t>
      </w:r>
      <w:r w:rsidR="00511A5A" w:rsidRPr="00511A5A">
        <w:t xml:space="preserve"> </w:t>
      </w:r>
      <w:r w:rsidR="00511A5A">
        <w:t xml:space="preserve">if a person or </w:t>
      </w:r>
      <w:r w:rsidR="006A2AF2">
        <w:t xml:space="preserve">organization </w:t>
      </w:r>
      <w:r w:rsidR="00511A5A">
        <w:t xml:space="preserve">has paid </w:t>
      </w:r>
      <w:r w:rsidR="00511A5A" w:rsidRPr="00511A5A">
        <w:t>an administrative penalty for an incident of non-compliance</w:t>
      </w:r>
      <w:r w:rsidR="00511A5A">
        <w:t>, they</w:t>
      </w:r>
      <w:r w:rsidR="00511A5A" w:rsidRPr="00511A5A">
        <w:t xml:space="preserve"> may not be charged with an offence with respect to that non-compliance unless the non-compliance continues after the penalty</w:t>
      </w:r>
      <w:r w:rsidR="00511A5A">
        <w:t xml:space="preserve"> has been </w:t>
      </w:r>
      <w:r w:rsidR="00511A5A" w:rsidRPr="00511A5A">
        <w:t>paid.</w:t>
      </w:r>
      <w:r w:rsidR="00873175">
        <w:rPr>
          <w:rStyle w:val="FootnoteReference"/>
        </w:rPr>
        <w:footnoteReference w:id="51"/>
      </w:r>
      <w:r w:rsidR="000C794C">
        <w:t xml:space="preserve"> Conviction for repeat violations of the Act, </w:t>
      </w:r>
      <w:r w:rsidR="006A2AF2">
        <w:t xml:space="preserve">of the </w:t>
      </w:r>
      <w:r w:rsidR="000C794C">
        <w:t xml:space="preserve">standards or </w:t>
      </w:r>
      <w:r w:rsidR="006A2AF2">
        <w:t xml:space="preserve">of </w:t>
      </w:r>
      <w:r w:rsidR="000C794C">
        <w:t>orders that have been issued can lead to a</w:t>
      </w:r>
      <w:r w:rsidR="006A2AF2" w:rsidRPr="006A2AF2">
        <w:t xml:space="preserve"> </w:t>
      </w:r>
      <w:r w:rsidR="006A2AF2">
        <w:t>maximum</w:t>
      </w:r>
      <w:r w:rsidR="000C794C">
        <w:t xml:space="preserve"> fine of $250,000.</w:t>
      </w:r>
      <w:r w:rsidR="005319AA">
        <w:rPr>
          <w:rStyle w:val="FootnoteReference"/>
        </w:rPr>
        <w:footnoteReference w:id="52"/>
      </w:r>
    </w:p>
    <w:p w:rsidR="006969B5" w:rsidRDefault="00373064" w:rsidP="007E4F77">
      <w:pPr>
        <w:jc w:val="both"/>
      </w:pPr>
      <w:r>
        <w:t xml:space="preserve">One question that arises is how to ensure that those who have committed violations do not simply pay administrative penalties </w:t>
      </w:r>
      <w:r w:rsidR="001E1977">
        <w:t xml:space="preserve">and fines </w:t>
      </w:r>
      <w:r>
        <w:t>without fixing the compliance issue.</w:t>
      </w:r>
      <w:r w:rsidR="00945C88">
        <w:t xml:space="preserve"> </w:t>
      </w:r>
      <w:r w:rsidR="001E1977">
        <w:t>It i</w:t>
      </w:r>
      <w:r w:rsidR="00B419DF">
        <w:t>s here that public enforcement and the publicity it draws may be valuable.</w:t>
      </w:r>
    </w:p>
    <w:p w:rsidR="006969B5" w:rsidRDefault="00A42679" w:rsidP="007E4F77">
      <w:pPr>
        <w:jc w:val="both"/>
      </w:pPr>
      <w:r>
        <w:t xml:space="preserve">Finally, with respect to the incorporation of </w:t>
      </w:r>
      <w:r w:rsidR="006969B5">
        <w:t xml:space="preserve">human rights laws and values </w:t>
      </w:r>
      <w:r>
        <w:t>in the enforcement of decisions,</w:t>
      </w:r>
      <w:r w:rsidR="00FA1A7B" w:rsidRPr="00FA1A7B">
        <w:t xml:space="preserve"> all administrative </w:t>
      </w:r>
      <w:r>
        <w:t>actors</w:t>
      </w:r>
      <w:r w:rsidR="00FA1A7B" w:rsidRPr="00FA1A7B">
        <w:t xml:space="preserve">, including the LAT, must ensure that their decisions comply with and uphold the human rights legal principles applicable in the province further to the Supreme Court of Canada decision in </w:t>
      </w:r>
      <w:r w:rsidR="00FA1A7B" w:rsidRPr="00FA1A7B">
        <w:rPr>
          <w:i/>
        </w:rPr>
        <w:t>Tranchemontagne v Ontario (Director, Disability Support Program)</w:t>
      </w:r>
      <w:r w:rsidR="007E4F77" w:rsidRPr="007E4F77">
        <w:rPr>
          <w:rStyle w:val="FootnoteReference"/>
        </w:rPr>
        <w:footnoteReference w:id="53"/>
      </w:r>
      <w:r>
        <w:t xml:space="preserve">. Administrative actors and the courts will also be subject to the </w:t>
      </w:r>
      <w:r w:rsidRPr="006616AC">
        <w:rPr>
          <w:i/>
        </w:rPr>
        <w:t>Charter</w:t>
      </w:r>
      <w:r>
        <w:t xml:space="preserve"> in rendering their decisions.</w:t>
      </w:r>
    </w:p>
    <w:p w:rsidR="00AC304D" w:rsidRPr="00AC304D" w:rsidRDefault="00AC304D" w:rsidP="00AC304D">
      <w:pPr>
        <w:rPr>
          <w:lang w:val="en-US"/>
        </w:rPr>
      </w:pPr>
    </w:p>
    <w:p w:rsidR="009D7380" w:rsidRDefault="0067230C" w:rsidP="003978C7">
      <w:pPr>
        <w:pStyle w:val="Heading2"/>
        <w:numPr>
          <w:ilvl w:val="0"/>
          <w:numId w:val="26"/>
        </w:numPr>
        <w:rPr>
          <w:lang w:val="en-US"/>
        </w:rPr>
      </w:pPr>
      <w:bookmarkStart w:id="14" w:name="_Toc505751502"/>
      <w:r>
        <w:rPr>
          <w:lang w:val="en-US"/>
        </w:rPr>
        <w:t>Enco</w:t>
      </w:r>
      <w:r w:rsidR="00601F92">
        <w:rPr>
          <w:lang w:val="en-US"/>
        </w:rPr>
        <w:t>u</w:t>
      </w:r>
      <w:r>
        <w:rPr>
          <w:lang w:val="en-US"/>
        </w:rPr>
        <w:t>raging C</w:t>
      </w:r>
      <w:r w:rsidR="009D7380" w:rsidRPr="009D7380">
        <w:rPr>
          <w:lang w:val="en-US"/>
        </w:rPr>
        <w:t>ompliance</w:t>
      </w:r>
      <w:bookmarkEnd w:id="14"/>
      <w:r w:rsidR="00AD2838">
        <w:rPr>
          <w:lang w:val="en-US"/>
        </w:rPr>
        <w:t xml:space="preserve"> </w:t>
      </w:r>
    </w:p>
    <w:p w:rsidR="00AD4E38" w:rsidRPr="00AD4E38" w:rsidRDefault="00AD4E38" w:rsidP="00AD4E38">
      <w:pPr>
        <w:rPr>
          <w:lang w:val="en-US"/>
        </w:rPr>
      </w:pPr>
    </w:p>
    <w:p w:rsidR="00AD2838" w:rsidRDefault="004A203A" w:rsidP="00803D05">
      <w:pPr>
        <w:jc w:val="both"/>
        <w:rPr>
          <w:lang w:val="en-US"/>
        </w:rPr>
      </w:pPr>
      <w:r>
        <w:rPr>
          <w:lang w:val="en-US"/>
        </w:rPr>
        <w:t>I</w:t>
      </w:r>
      <w:r w:rsidR="00AD4E38">
        <w:rPr>
          <w:lang w:val="en-US"/>
        </w:rPr>
        <w:t>n many jurisdictions, c</w:t>
      </w:r>
      <w:r w:rsidR="00363F3D">
        <w:rPr>
          <w:lang w:val="en-US"/>
        </w:rPr>
        <w:t xml:space="preserve">ompliance </w:t>
      </w:r>
      <w:r w:rsidR="00427485">
        <w:rPr>
          <w:lang w:val="en-US"/>
        </w:rPr>
        <w:t xml:space="preserve">with accessibility standards </w:t>
      </w:r>
      <w:r w:rsidR="00363F3D">
        <w:rPr>
          <w:lang w:val="en-US"/>
        </w:rPr>
        <w:t xml:space="preserve">is encouraged through </w:t>
      </w:r>
      <w:r w:rsidR="00AD4E38">
        <w:rPr>
          <w:lang w:val="en-US"/>
        </w:rPr>
        <w:t xml:space="preserve">a variety of </w:t>
      </w:r>
      <w:r w:rsidR="00363F3D">
        <w:rPr>
          <w:lang w:val="en-US"/>
        </w:rPr>
        <w:t xml:space="preserve">tools:   the use of technical assistance manuals </w:t>
      </w:r>
      <w:r w:rsidR="0082306F">
        <w:rPr>
          <w:lang w:val="en-US"/>
        </w:rPr>
        <w:t>directed at</w:t>
      </w:r>
      <w:r w:rsidR="00363F3D">
        <w:rPr>
          <w:lang w:val="en-US"/>
        </w:rPr>
        <w:t xml:space="preserve"> the public</w:t>
      </w:r>
      <w:r w:rsidR="00004A15">
        <w:rPr>
          <w:lang w:val="en-US"/>
        </w:rPr>
        <w:t xml:space="preserve"> by US agencies</w:t>
      </w:r>
      <w:r w:rsidR="00363F3D">
        <w:rPr>
          <w:lang w:val="en-US"/>
        </w:rPr>
        <w:t xml:space="preserve">, </w:t>
      </w:r>
      <w:r w:rsidR="0082306F">
        <w:rPr>
          <w:lang w:val="en-US"/>
        </w:rPr>
        <w:t>making</w:t>
      </w:r>
      <w:r w:rsidR="00363F3D">
        <w:rPr>
          <w:lang w:val="en-US"/>
        </w:rPr>
        <w:t xml:space="preserve"> relatively plain language textbooks on the law available to the public</w:t>
      </w:r>
      <w:r w:rsidR="00004A15">
        <w:rPr>
          <w:lang w:val="en-US"/>
        </w:rPr>
        <w:t xml:space="preserve"> in Australia</w:t>
      </w:r>
      <w:r w:rsidR="00363F3D">
        <w:rPr>
          <w:lang w:val="en-US"/>
        </w:rPr>
        <w:t xml:space="preserve">, the use of ADA National Networks in the US which are independent government-funded entities that provide information to those subject to the standards on how to comply, </w:t>
      </w:r>
      <w:r w:rsidR="00004A15">
        <w:rPr>
          <w:lang w:val="en-US"/>
        </w:rPr>
        <w:t xml:space="preserve">US </w:t>
      </w:r>
      <w:r w:rsidR="00B33FE0">
        <w:rPr>
          <w:lang w:val="en-US"/>
        </w:rPr>
        <w:t xml:space="preserve">tax breaks, </w:t>
      </w:r>
      <w:r w:rsidR="00363F3D">
        <w:rPr>
          <w:lang w:val="en-US"/>
        </w:rPr>
        <w:t>incentive agreements</w:t>
      </w:r>
      <w:r w:rsidR="00004A15">
        <w:rPr>
          <w:lang w:val="en-US"/>
        </w:rPr>
        <w:t xml:space="preserve"> under the AODA</w:t>
      </w:r>
      <w:r w:rsidR="00363F3D">
        <w:rPr>
          <w:lang w:val="en-US"/>
        </w:rPr>
        <w:t xml:space="preserve">, and </w:t>
      </w:r>
      <w:r w:rsidR="00427485">
        <w:rPr>
          <w:lang w:val="en-US"/>
        </w:rPr>
        <w:t xml:space="preserve">providing </w:t>
      </w:r>
      <w:r w:rsidR="00004A15">
        <w:rPr>
          <w:lang w:val="en-US"/>
        </w:rPr>
        <w:t>information</w:t>
      </w:r>
      <w:r w:rsidR="00363F3D">
        <w:rPr>
          <w:lang w:val="en-US"/>
        </w:rPr>
        <w:t xml:space="preserve"> to entities </w:t>
      </w:r>
      <w:r w:rsidR="00004A15">
        <w:rPr>
          <w:lang w:val="en-US"/>
        </w:rPr>
        <w:t xml:space="preserve">in Ontario </w:t>
      </w:r>
      <w:r w:rsidR="00363F3D">
        <w:rPr>
          <w:lang w:val="en-US"/>
        </w:rPr>
        <w:t>that will soon be subject to new standards.</w:t>
      </w:r>
      <w:r w:rsidR="006616AC">
        <w:rPr>
          <w:rStyle w:val="FootnoteReference"/>
          <w:lang w:val="en-US"/>
        </w:rPr>
        <w:footnoteReference w:id="54"/>
      </w:r>
      <w:r w:rsidR="00363F3D">
        <w:rPr>
          <w:lang w:val="en-US"/>
        </w:rPr>
        <w:t xml:space="preserve"> These are all strong tools for encouraging compliance that the federal government should consider. </w:t>
      </w:r>
      <w:r w:rsidR="00803D05">
        <w:rPr>
          <w:lang w:val="en-US"/>
        </w:rPr>
        <w:t xml:space="preserve">At the federal level, all </w:t>
      </w:r>
      <w:r w:rsidR="00363F3D">
        <w:rPr>
          <w:lang w:val="en-US"/>
        </w:rPr>
        <w:t xml:space="preserve">of these tools could </w:t>
      </w:r>
      <w:r w:rsidR="00803D05">
        <w:rPr>
          <w:lang w:val="en-US"/>
        </w:rPr>
        <w:t xml:space="preserve">be adopted with modification to suit. They could </w:t>
      </w:r>
      <w:r w:rsidR="0082306F">
        <w:rPr>
          <w:lang w:val="en-US"/>
        </w:rPr>
        <w:t xml:space="preserve">also </w:t>
      </w:r>
      <w:r w:rsidR="00363F3D">
        <w:rPr>
          <w:lang w:val="en-US"/>
        </w:rPr>
        <w:t xml:space="preserve">be infused with information about human rights law, </w:t>
      </w:r>
      <w:r w:rsidR="00427485">
        <w:rPr>
          <w:lang w:val="en-US"/>
        </w:rPr>
        <w:t xml:space="preserve">such as </w:t>
      </w:r>
      <w:r w:rsidR="00363F3D">
        <w:rPr>
          <w:lang w:val="en-US"/>
        </w:rPr>
        <w:t xml:space="preserve">the fact that </w:t>
      </w:r>
      <w:r w:rsidR="00004A15">
        <w:rPr>
          <w:lang w:val="en-US"/>
        </w:rPr>
        <w:t>it is</w:t>
      </w:r>
      <w:r w:rsidR="00363F3D">
        <w:rPr>
          <w:lang w:val="en-US"/>
        </w:rPr>
        <w:t xml:space="preserve"> qu</w:t>
      </w:r>
      <w:r w:rsidR="0082306F">
        <w:rPr>
          <w:lang w:val="en-US"/>
        </w:rPr>
        <w:t>asi-</w:t>
      </w:r>
      <w:r w:rsidR="00363F3D">
        <w:rPr>
          <w:lang w:val="en-US"/>
        </w:rPr>
        <w:t>constitutional and primordial</w:t>
      </w:r>
      <w:r w:rsidR="0082306F">
        <w:rPr>
          <w:lang w:val="en-US"/>
        </w:rPr>
        <w:t xml:space="preserve">, </w:t>
      </w:r>
      <w:r w:rsidR="00004A15">
        <w:rPr>
          <w:lang w:val="en-US"/>
        </w:rPr>
        <w:t>its</w:t>
      </w:r>
      <w:r w:rsidR="0082306F">
        <w:rPr>
          <w:lang w:val="en-US"/>
        </w:rPr>
        <w:t xml:space="preserve"> main concepts,</w:t>
      </w:r>
      <w:r w:rsidR="00363F3D">
        <w:rPr>
          <w:lang w:val="en-US"/>
        </w:rPr>
        <w:t xml:space="preserve"> and that </w:t>
      </w:r>
      <w:r w:rsidR="00004A15">
        <w:rPr>
          <w:lang w:val="en-US"/>
        </w:rPr>
        <w:t>it</w:t>
      </w:r>
      <w:r w:rsidR="00363F3D">
        <w:rPr>
          <w:lang w:val="en-US"/>
        </w:rPr>
        <w:t xml:space="preserve"> inform</w:t>
      </w:r>
      <w:r w:rsidR="00004A15">
        <w:rPr>
          <w:lang w:val="en-US"/>
        </w:rPr>
        <w:t>s</w:t>
      </w:r>
      <w:r w:rsidR="00363F3D">
        <w:rPr>
          <w:lang w:val="en-US"/>
        </w:rPr>
        <w:t xml:space="preserve"> the accessibility legislation.</w:t>
      </w:r>
    </w:p>
    <w:p w:rsidR="006616AC" w:rsidRPr="00AD2838" w:rsidRDefault="006616AC" w:rsidP="00803D05">
      <w:pPr>
        <w:jc w:val="both"/>
        <w:rPr>
          <w:lang w:val="en-US"/>
        </w:rPr>
      </w:pPr>
    </w:p>
    <w:p w:rsidR="009D7380" w:rsidRDefault="0067230C" w:rsidP="003978C7">
      <w:pPr>
        <w:pStyle w:val="Heading2"/>
        <w:numPr>
          <w:ilvl w:val="0"/>
          <w:numId w:val="26"/>
        </w:numPr>
        <w:rPr>
          <w:lang w:val="en-US"/>
        </w:rPr>
      </w:pPr>
      <w:bookmarkStart w:id="15" w:name="_Toc505751503"/>
      <w:r>
        <w:rPr>
          <w:lang w:val="en-US"/>
        </w:rPr>
        <w:t>Raising Public A</w:t>
      </w:r>
      <w:r w:rsidR="006616AC">
        <w:rPr>
          <w:lang w:val="en-US"/>
        </w:rPr>
        <w:t>wareness (and P</w:t>
      </w:r>
      <w:r w:rsidR="009D7380" w:rsidRPr="009D7380">
        <w:rPr>
          <w:lang w:val="en-US"/>
        </w:rPr>
        <w:t xml:space="preserve">romoting </w:t>
      </w:r>
      <w:r w:rsidR="006616AC">
        <w:rPr>
          <w:lang w:val="en-US"/>
        </w:rPr>
        <w:t>Systemic C</w:t>
      </w:r>
      <w:r w:rsidR="009D7380" w:rsidRPr="009D7380">
        <w:rPr>
          <w:lang w:val="en-US"/>
        </w:rPr>
        <w:t xml:space="preserve">ulture </w:t>
      </w:r>
      <w:r w:rsidR="006616AC">
        <w:rPr>
          <w:lang w:val="en-US"/>
        </w:rPr>
        <w:t>C</w:t>
      </w:r>
      <w:r w:rsidR="009D7380" w:rsidRPr="009D7380">
        <w:rPr>
          <w:lang w:val="en-US"/>
        </w:rPr>
        <w:t>hange)</w:t>
      </w:r>
      <w:bookmarkEnd w:id="15"/>
      <w:r w:rsidR="00AD2838">
        <w:rPr>
          <w:lang w:val="en-US"/>
        </w:rPr>
        <w:t xml:space="preserve"> </w:t>
      </w:r>
    </w:p>
    <w:p w:rsidR="000537AD" w:rsidRDefault="0043574B" w:rsidP="00BE7B74">
      <w:pPr>
        <w:jc w:val="both"/>
      </w:pPr>
      <w:r>
        <w:rPr>
          <w:lang w:val="en-US"/>
        </w:rPr>
        <w:t>T</w:t>
      </w:r>
      <w:r>
        <w:t xml:space="preserve">here are several ways in which public awareness is raised about accessibility and disability rights in various jurisdictions. In Australia, the </w:t>
      </w:r>
      <w:r w:rsidR="000537AD">
        <w:t xml:space="preserve">Disability </w:t>
      </w:r>
      <w:r>
        <w:t xml:space="preserve">Discrimination </w:t>
      </w:r>
      <w:r w:rsidR="000537AD">
        <w:t>Commissioner develops</w:t>
      </w:r>
      <w:r w:rsidR="006565A8">
        <w:t xml:space="preserve"> an</w:t>
      </w:r>
      <w:r w:rsidR="000537AD">
        <w:t xml:space="preserve"> agenda of </w:t>
      </w:r>
      <w:r w:rsidR="00723D4C">
        <w:t xml:space="preserve">systemic disability </w:t>
      </w:r>
      <w:r w:rsidR="000537AD">
        <w:t xml:space="preserve">topics to research and </w:t>
      </w:r>
      <w:r w:rsidR="006616AC">
        <w:t>address</w:t>
      </w:r>
      <w:r w:rsidR="000537AD">
        <w:t xml:space="preserve">.  </w:t>
      </w:r>
      <w:r>
        <w:t xml:space="preserve">The Commissioner may </w:t>
      </w:r>
      <w:r w:rsidR="008B0933">
        <w:t>work together with c</w:t>
      </w:r>
      <w:r w:rsidR="000537AD">
        <w:t>ommissioners for other human rights at the</w:t>
      </w:r>
      <w:r w:rsidR="008C27D1">
        <w:t xml:space="preserve"> Australian Human Rights Commission</w:t>
      </w:r>
      <w:r w:rsidR="000537AD">
        <w:t xml:space="preserve">, such as the </w:t>
      </w:r>
      <w:r w:rsidR="000537AD" w:rsidRPr="00721647">
        <w:t>Sex Discrimination Commissioner</w:t>
      </w:r>
      <w:r>
        <w:t xml:space="preserve">, </w:t>
      </w:r>
      <w:r w:rsidR="0004555B">
        <w:t xml:space="preserve">the Commissioner for </w:t>
      </w:r>
      <w:r w:rsidR="0004555B" w:rsidRPr="0004555B">
        <w:t>Aboriginal and Torres Strait Islander Social Justice</w:t>
      </w:r>
      <w:r w:rsidR="0004555B">
        <w:t>, and the Commissioner for LGBTI issues,</w:t>
      </w:r>
      <w:r w:rsidR="0004555B" w:rsidRPr="0004555B">
        <w:t xml:space="preserve"> </w:t>
      </w:r>
      <w:r>
        <w:t xml:space="preserve">which helps to </w:t>
      </w:r>
      <w:r w:rsidR="0004555B">
        <w:t>develop</w:t>
      </w:r>
      <w:r>
        <w:t xml:space="preserve"> understanding of </w:t>
      </w:r>
      <w:r w:rsidR="0004555B">
        <w:t xml:space="preserve">disability </w:t>
      </w:r>
      <w:r>
        <w:t xml:space="preserve">issues from </w:t>
      </w:r>
      <w:r w:rsidR="008B0933">
        <w:t xml:space="preserve">an </w:t>
      </w:r>
      <w:r>
        <w:t>intersectional perspective</w:t>
      </w:r>
      <w:r w:rsidR="000537AD">
        <w:t>.</w:t>
      </w:r>
    </w:p>
    <w:p w:rsidR="006B4C35" w:rsidRDefault="001D4A8A" w:rsidP="000A6958">
      <w:pPr>
        <w:jc w:val="both"/>
        <w:rPr>
          <w:lang w:val="en-US"/>
        </w:rPr>
      </w:pPr>
      <w:r>
        <w:t xml:space="preserve">In </w:t>
      </w:r>
      <w:r w:rsidR="00864765">
        <w:t>Ontario</w:t>
      </w:r>
      <w:r>
        <w:t>, the ADO is working on</w:t>
      </w:r>
      <w:r w:rsidR="000A6958" w:rsidRPr="000A6958">
        <w:t xml:space="preserve"> </w:t>
      </w:r>
      <w:r w:rsidR="000A6958">
        <w:t>awareness-</w:t>
      </w:r>
      <w:r>
        <w:t xml:space="preserve">raising </w:t>
      </w:r>
      <w:r w:rsidR="00864765">
        <w:t>with children in order to spread messages about inclusion and accessibility to those who</w:t>
      </w:r>
      <w:r w:rsidR="008C27D1">
        <w:t xml:space="preserve"> are</w:t>
      </w:r>
      <w:r w:rsidR="00864765">
        <w:t xml:space="preserve"> in their early years </w:t>
      </w:r>
      <w:r w:rsidR="000A6958">
        <w:t>so that they</w:t>
      </w:r>
      <w:r w:rsidR="00864765">
        <w:t xml:space="preserve"> </w:t>
      </w:r>
      <w:r w:rsidR="008C27D1">
        <w:t>will</w:t>
      </w:r>
      <w:r w:rsidR="00864765">
        <w:t xml:space="preserve"> grow </w:t>
      </w:r>
      <w:r w:rsidR="008C27D1">
        <w:t xml:space="preserve">up with an understanding of these ideas as </w:t>
      </w:r>
      <w:r w:rsidR="00DA3717">
        <w:t xml:space="preserve">part  of </w:t>
      </w:r>
      <w:r w:rsidR="00864765">
        <w:t xml:space="preserve">the norm. </w:t>
      </w:r>
      <w:r w:rsidR="000A6958">
        <w:t>For the most part, the</w:t>
      </w:r>
      <w:r w:rsidR="00864765">
        <w:rPr>
          <w:lang w:val="en-US"/>
        </w:rPr>
        <w:t xml:space="preserve"> degree to which human rights laws concepts and values are infused into public awareness activities a</w:t>
      </w:r>
      <w:r w:rsidR="00802564">
        <w:rPr>
          <w:lang w:val="en-US"/>
        </w:rPr>
        <w:t>re</w:t>
      </w:r>
      <w:r w:rsidR="00864765">
        <w:rPr>
          <w:lang w:val="en-US"/>
        </w:rPr>
        <w:t xml:space="preserve"> </w:t>
      </w:r>
      <w:r w:rsidR="00802564">
        <w:rPr>
          <w:lang w:val="en-US"/>
        </w:rPr>
        <w:t>at</w:t>
      </w:r>
      <w:r w:rsidR="00864765">
        <w:rPr>
          <w:lang w:val="en-US"/>
        </w:rPr>
        <w:t xml:space="preserve"> the discretion of those responsible for the public awareness activities. </w:t>
      </w:r>
      <w:r w:rsidR="008C27D1">
        <w:rPr>
          <w:lang w:val="en-US"/>
        </w:rPr>
        <w:t xml:space="preserve">However, </w:t>
      </w:r>
      <w:r w:rsidR="000A6958">
        <w:rPr>
          <w:lang w:val="en-US"/>
        </w:rPr>
        <w:t xml:space="preserve">in the context of the proposed federal accessibility legislation, </w:t>
      </w:r>
      <w:r w:rsidR="008C27D1">
        <w:rPr>
          <w:lang w:val="en-US"/>
        </w:rPr>
        <w:t>this could be made a requirement by incorporating it into the statute.</w:t>
      </w:r>
    </w:p>
    <w:p w:rsidR="007C433F" w:rsidRPr="00CF64FB" w:rsidRDefault="007C433F" w:rsidP="000A6958">
      <w:pPr>
        <w:jc w:val="both"/>
        <w:rPr>
          <w:lang w:val="en-US"/>
        </w:rPr>
      </w:pPr>
      <w:r>
        <w:rPr>
          <w:lang w:val="en-US"/>
        </w:rPr>
        <w:t xml:space="preserve">In order to ensure that there is an </w:t>
      </w:r>
      <w:r w:rsidR="00723D4C">
        <w:rPr>
          <w:lang w:val="en-US"/>
        </w:rPr>
        <w:t>office</w:t>
      </w:r>
      <w:r>
        <w:rPr>
          <w:lang w:val="en-US"/>
        </w:rPr>
        <w:t xml:space="preserve"> dedicated to raising public awareness of disability issues and </w:t>
      </w:r>
      <w:r w:rsidR="000A6958">
        <w:rPr>
          <w:lang w:val="en-US"/>
        </w:rPr>
        <w:t xml:space="preserve">to </w:t>
      </w:r>
      <w:r>
        <w:rPr>
          <w:lang w:val="en-US"/>
        </w:rPr>
        <w:t xml:space="preserve">promoting </w:t>
      </w:r>
      <w:r w:rsidR="00723D4C">
        <w:rPr>
          <w:lang w:val="en-US"/>
        </w:rPr>
        <w:t>a</w:t>
      </w:r>
      <w:r>
        <w:rPr>
          <w:lang w:val="en-US"/>
        </w:rPr>
        <w:t xml:space="preserve"> culture change</w:t>
      </w:r>
      <w:r w:rsidR="00723D4C">
        <w:rPr>
          <w:lang w:val="en-US"/>
        </w:rPr>
        <w:t xml:space="preserve"> in favour of inclusion of difference</w:t>
      </w:r>
      <w:r w:rsidR="00F9441C">
        <w:rPr>
          <w:lang w:val="en-US"/>
        </w:rPr>
        <w:t>, it w</w:t>
      </w:r>
      <w:r>
        <w:rPr>
          <w:lang w:val="en-US"/>
        </w:rPr>
        <w:t xml:space="preserve">ould be helpful to have a dedicated Commissioner for </w:t>
      </w:r>
      <w:r w:rsidR="000A6958">
        <w:rPr>
          <w:lang w:val="en-US"/>
        </w:rPr>
        <w:t>Accessibility and Inclusion</w:t>
      </w:r>
      <w:r>
        <w:rPr>
          <w:lang w:val="en-US"/>
        </w:rPr>
        <w:t>.</w:t>
      </w:r>
      <w:r w:rsidR="00723D4C">
        <w:rPr>
          <w:lang w:val="en-US"/>
        </w:rPr>
        <w:t xml:space="preserve"> This proposed Commissioner would be</w:t>
      </w:r>
      <w:r w:rsidR="000A6958">
        <w:rPr>
          <w:lang w:val="en-US"/>
        </w:rPr>
        <w:t xml:space="preserve"> </w:t>
      </w:r>
      <w:r w:rsidR="00723D4C">
        <w:rPr>
          <w:lang w:val="en-US"/>
        </w:rPr>
        <w:t xml:space="preserve">responsible for research, education and promoting awareness. </w:t>
      </w:r>
      <w:r w:rsidR="000A6958">
        <w:rPr>
          <w:lang w:val="en-US"/>
        </w:rPr>
        <w:t xml:space="preserve">In a manner similar </w:t>
      </w:r>
      <w:r>
        <w:rPr>
          <w:lang w:val="en-US"/>
        </w:rPr>
        <w:t>to the approach taken in Australia,</w:t>
      </w:r>
      <w:r w:rsidR="000A6958">
        <w:rPr>
          <w:lang w:val="en-US"/>
        </w:rPr>
        <w:t xml:space="preserve"> where the Disability Discrimination Commissioner works with other commissioners to promote awareness and conduct public education</w:t>
      </w:r>
      <w:r w:rsidR="00723D4C">
        <w:rPr>
          <w:lang w:val="en-US"/>
        </w:rPr>
        <w:t xml:space="preserve"> of systemic issues</w:t>
      </w:r>
      <w:r w:rsidR="000A6958">
        <w:rPr>
          <w:lang w:val="en-US"/>
        </w:rPr>
        <w:t>,</w:t>
      </w:r>
      <w:r>
        <w:rPr>
          <w:lang w:val="en-US"/>
        </w:rPr>
        <w:t xml:space="preserve"> the </w:t>
      </w:r>
      <w:r w:rsidR="000A6958">
        <w:rPr>
          <w:lang w:val="en-US"/>
        </w:rPr>
        <w:t xml:space="preserve">proposed </w:t>
      </w:r>
      <w:r>
        <w:rPr>
          <w:lang w:val="en-US"/>
        </w:rPr>
        <w:t xml:space="preserve">Commissioner </w:t>
      </w:r>
      <w:r w:rsidR="000A6958">
        <w:rPr>
          <w:lang w:val="en-US"/>
        </w:rPr>
        <w:t xml:space="preserve">for Accessibility and Inclusion </w:t>
      </w:r>
      <w:r>
        <w:rPr>
          <w:lang w:val="en-US"/>
        </w:rPr>
        <w:t xml:space="preserve">could work with the </w:t>
      </w:r>
      <w:r w:rsidR="000A6958">
        <w:rPr>
          <w:lang w:val="en-US"/>
        </w:rPr>
        <w:t xml:space="preserve">Canadian </w:t>
      </w:r>
      <w:r>
        <w:rPr>
          <w:lang w:val="en-US"/>
        </w:rPr>
        <w:t>Human Rights Commission in order to promote intersectional perspectives on disability issues</w:t>
      </w:r>
      <w:r w:rsidR="000A6958">
        <w:rPr>
          <w:lang w:val="en-US"/>
        </w:rPr>
        <w:t xml:space="preserve"> in the federal sphere</w:t>
      </w:r>
      <w:r>
        <w:rPr>
          <w:lang w:val="en-US"/>
        </w:rPr>
        <w:t xml:space="preserve">. It </w:t>
      </w:r>
      <w:r w:rsidR="00723D4C">
        <w:rPr>
          <w:lang w:val="en-US"/>
        </w:rPr>
        <w:t>w</w:t>
      </w:r>
      <w:r>
        <w:rPr>
          <w:lang w:val="en-US"/>
        </w:rPr>
        <w:t xml:space="preserve">ould also be effective to have a statutory requirement </w:t>
      </w:r>
      <w:r w:rsidR="00723D4C">
        <w:rPr>
          <w:lang w:val="en-US"/>
        </w:rPr>
        <w:t>that</w:t>
      </w:r>
      <w:r>
        <w:rPr>
          <w:lang w:val="en-US"/>
        </w:rPr>
        <w:t xml:space="preserve"> </w:t>
      </w:r>
      <w:r w:rsidR="00723D4C">
        <w:rPr>
          <w:lang w:val="en-US"/>
        </w:rPr>
        <w:t>every</w:t>
      </w:r>
      <w:r>
        <w:rPr>
          <w:lang w:val="en-US"/>
        </w:rPr>
        <w:t xml:space="preserve"> federal government department have an office dedicated to accessibility which would work with and consult the</w:t>
      </w:r>
      <w:r w:rsidR="00EF329B">
        <w:rPr>
          <w:lang w:val="en-US"/>
        </w:rPr>
        <w:t xml:space="preserve"> proposed</w:t>
      </w:r>
      <w:r>
        <w:rPr>
          <w:lang w:val="en-US"/>
        </w:rPr>
        <w:t xml:space="preserve"> </w:t>
      </w:r>
      <w:r w:rsidR="00723D4C">
        <w:rPr>
          <w:lang w:val="en-US"/>
        </w:rPr>
        <w:t>Commissioner to promote awareness and culture change across the federal sphere.</w:t>
      </w:r>
      <w:r>
        <w:rPr>
          <w:lang w:val="en-US"/>
        </w:rPr>
        <w:t xml:space="preserve"> </w:t>
      </w:r>
    </w:p>
    <w:p w:rsidR="00AD2838" w:rsidRPr="00AD2838" w:rsidRDefault="00AD2838" w:rsidP="00AD2838">
      <w:pPr>
        <w:rPr>
          <w:lang w:val="en-US"/>
        </w:rPr>
      </w:pPr>
    </w:p>
    <w:p w:rsidR="00336802" w:rsidRDefault="00360765" w:rsidP="003978C7">
      <w:pPr>
        <w:pStyle w:val="Heading2"/>
        <w:numPr>
          <w:ilvl w:val="0"/>
          <w:numId w:val="26"/>
        </w:numPr>
        <w:rPr>
          <w:lang w:val="en-US"/>
        </w:rPr>
      </w:pPr>
      <w:bookmarkStart w:id="16" w:name="_Toc505751504"/>
      <w:r>
        <w:rPr>
          <w:lang w:val="en-US"/>
        </w:rPr>
        <w:t>Public E</w:t>
      </w:r>
      <w:r w:rsidR="009D7380" w:rsidRPr="009D7380">
        <w:rPr>
          <w:lang w:val="en-US"/>
        </w:rPr>
        <w:t>ducation</w:t>
      </w:r>
      <w:bookmarkEnd w:id="16"/>
    </w:p>
    <w:p w:rsidR="008C27D1" w:rsidRDefault="008C27D1" w:rsidP="002E3CE4"/>
    <w:p w:rsidR="00877ECD" w:rsidRDefault="00357B2B" w:rsidP="00992EFE">
      <w:pPr>
        <w:jc w:val="both"/>
      </w:pPr>
      <w:r>
        <w:t>The</w:t>
      </w:r>
      <w:r w:rsidR="002E3CE4">
        <w:t xml:space="preserve"> jurisdictions</w:t>
      </w:r>
      <w:r w:rsidR="008C27D1">
        <w:t xml:space="preserve"> </w:t>
      </w:r>
      <w:r>
        <w:t xml:space="preserve">examined </w:t>
      </w:r>
      <w:r w:rsidR="008C27D1">
        <w:t>in this study</w:t>
      </w:r>
      <w:r w:rsidR="002E3CE4">
        <w:t xml:space="preserve"> </w:t>
      </w:r>
      <w:r>
        <w:t>employ</w:t>
      </w:r>
      <w:r w:rsidR="002E3CE4" w:rsidRPr="002E3CE4">
        <w:t xml:space="preserve"> </w:t>
      </w:r>
      <w:r w:rsidR="002E3CE4">
        <w:t xml:space="preserve">several effective public education methods. For example, in the early years of public enforcement, the US Department of Justice </w:t>
      </w:r>
      <w:r w:rsidR="00877ECD">
        <w:t xml:space="preserve">chose </w:t>
      </w:r>
      <w:r>
        <w:t xml:space="preserve">to bring law suits in </w:t>
      </w:r>
      <w:r w:rsidR="00877ECD">
        <w:t>high profile cases of disability discrim</w:t>
      </w:r>
      <w:r w:rsidR="002E3CE4">
        <w:t>i</w:t>
      </w:r>
      <w:r w:rsidR="00877ECD">
        <w:t>nation</w:t>
      </w:r>
      <w:r w:rsidR="002E3CE4">
        <w:t xml:space="preserve">. Public enforcement was used to ensure that the Empire State Building </w:t>
      </w:r>
      <w:r w:rsidR="00992EFE">
        <w:t xml:space="preserve">and that the Safeway supermarket store chain </w:t>
      </w:r>
      <w:r w:rsidR="002E3CE4">
        <w:t>became accessible</w:t>
      </w:r>
      <w:r w:rsidR="00DC2AFD">
        <w:t xml:space="preserve">. </w:t>
      </w:r>
      <w:r>
        <w:t>T</w:t>
      </w:r>
      <w:r w:rsidR="00DC2AFD">
        <w:t>hese cases not only helped ensure compliance but taught the general public about the importance of disability rights.</w:t>
      </w:r>
    </w:p>
    <w:p w:rsidR="00261424" w:rsidRDefault="003D0858" w:rsidP="003D0858">
      <w:pPr>
        <w:jc w:val="both"/>
        <w:rPr>
          <w:lang w:val="en-US"/>
        </w:rPr>
      </w:pPr>
      <w:r>
        <w:rPr>
          <w:lang w:val="en-US"/>
        </w:rPr>
        <w:t xml:space="preserve">Closer to home, in Ontario, the ADO </w:t>
      </w:r>
      <w:r w:rsidR="007C433F">
        <w:rPr>
          <w:lang w:val="en-US"/>
        </w:rPr>
        <w:t xml:space="preserve">has </w:t>
      </w:r>
      <w:r>
        <w:rPr>
          <w:lang w:val="en-US"/>
        </w:rPr>
        <w:t xml:space="preserve">created a video on the relationship between the AODA and the Ontario </w:t>
      </w:r>
      <w:r w:rsidRPr="00992EFE">
        <w:rPr>
          <w:i/>
          <w:lang w:val="en-US"/>
        </w:rPr>
        <w:t>Human Rights</w:t>
      </w:r>
      <w:r w:rsidR="00992EFE" w:rsidRPr="00992EFE">
        <w:rPr>
          <w:i/>
          <w:lang w:val="en-US"/>
        </w:rPr>
        <w:t xml:space="preserve"> Code</w:t>
      </w:r>
      <w:r w:rsidR="00992EFE">
        <w:rPr>
          <w:lang w:val="en-US"/>
        </w:rPr>
        <w:t xml:space="preserve">. This </w:t>
      </w:r>
      <w:r>
        <w:rPr>
          <w:lang w:val="en-US"/>
        </w:rPr>
        <w:t>public education tool</w:t>
      </w:r>
      <w:r w:rsidR="00992EFE">
        <w:rPr>
          <w:lang w:val="en-US"/>
        </w:rPr>
        <w:t xml:space="preserve"> was made widely available</w:t>
      </w:r>
      <w:r>
        <w:rPr>
          <w:lang w:val="en-US"/>
        </w:rPr>
        <w:t xml:space="preserve"> to assist the general public </w:t>
      </w:r>
      <w:r w:rsidR="00992EFE">
        <w:rPr>
          <w:lang w:val="en-US"/>
        </w:rPr>
        <w:t>in</w:t>
      </w:r>
      <w:r>
        <w:rPr>
          <w:lang w:val="en-US"/>
        </w:rPr>
        <w:t xml:space="preserve"> recognizing its obligations. In Manitoba, the Disability Issues Office regularly uses the language of antidiscrimination drawn from principles derived under human rights jurisprudence (like reasonable accommodation and undue hardship) in </w:t>
      </w:r>
      <w:r w:rsidR="00357B2B">
        <w:rPr>
          <w:lang w:val="en-US"/>
        </w:rPr>
        <w:t xml:space="preserve">the </w:t>
      </w:r>
      <w:r>
        <w:rPr>
          <w:lang w:val="en-US"/>
        </w:rPr>
        <w:t xml:space="preserve">training sessions about accessibility standards </w:t>
      </w:r>
      <w:r w:rsidR="00357B2B">
        <w:rPr>
          <w:lang w:val="en-US"/>
        </w:rPr>
        <w:t xml:space="preserve">that it delivers </w:t>
      </w:r>
      <w:r>
        <w:rPr>
          <w:lang w:val="en-US"/>
        </w:rPr>
        <w:t>around the province.</w:t>
      </w:r>
      <w:r w:rsidR="007C433F">
        <w:rPr>
          <w:rStyle w:val="FootnoteReference"/>
          <w:lang w:val="en-US"/>
        </w:rPr>
        <w:footnoteReference w:id="55"/>
      </w:r>
    </w:p>
    <w:p w:rsidR="00877ECD" w:rsidRDefault="00802564" w:rsidP="00EF329B">
      <w:pPr>
        <w:jc w:val="both"/>
        <w:rPr>
          <w:lang w:val="en-US"/>
        </w:rPr>
      </w:pPr>
      <w:r>
        <w:rPr>
          <w:lang w:val="en-US"/>
        </w:rPr>
        <w:t>As with raising public awareness and promoting systemic culture change,</w:t>
      </w:r>
      <w:r w:rsidR="00A04F86" w:rsidRPr="00A04F86">
        <w:t xml:space="preserve"> </w:t>
      </w:r>
      <w:r w:rsidR="00A04F86">
        <w:rPr>
          <w:lang w:val="en-US"/>
        </w:rPr>
        <w:t>t</w:t>
      </w:r>
      <w:r w:rsidR="00A04F86" w:rsidRPr="00A04F86">
        <w:rPr>
          <w:lang w:val="en-US"/>
        </w:rPr>
        <w:t>he degree to which human rights laws</w:t>
      </w:r>
      <w:r w:rsidR="00A04F86">
        <w:rPr>
          <w:lang w:val="en-US"/>
        </w:rPr>
        <w:t>,</w:t>
      </w:r>
      <w:r w:rsidR="00A04F86" w:rsidRPr="00A04F86">
        <w:rPr>
          <w:lang w:val="en-US"/>
        </w:rPr>
        <w:t xml:space="preserve"> concepts</w:t>
      </w:r>
      <w:r w:rsidR="00D01E71">
        <w:rPr>
          <w:lang w:val="en-US"/>
        </w:rPr>
        <w:t>,</w:t>
      </w:r>
      <w:r w:rsidR="00A04F86" w:rsidRPr="00A04F86">
        <w:rPr>
          <w:lang w:val="en-US"/>
        </w:rPr>
        <w:t xml:space="preserve"> and values are infused into public </w:t>
      </w:r>
      <w:r w:rsidR="00A073DF">
        <w:rPr>
          <w:lang w:val="en-US"/>
        </w:rPr>
        <w:t>education</w:t>
      </w:r>
      <w:r w:rsidR="00A04F86" w:rsidRPr="00A04F86">
        <w:rPr>
          <w:lang w:val="en-US"/>
        </w:rPr>
        <w:t xml:space="preserve"> activities are at the discretion of the </w:t>
      </w:r>
      <w:r w:rsidR="00D01E71">
        <w:rPr>
          <w:lang w:val="en-US"/>
        </w:rPr>
        <w:t xml:space="preserve">government officials </w:t>
      </w:r>
      <w:r w:rsidR="00A04F86" w:rsidRPr="00A04F86">
        <w:rPr>
          <w:lang w:val="en-US"/>
        </w:rPr>
        <w:t xml:space="preserve">responsible for </w:t>
      </w:r>
      <w:r w:rsidR="00357B2B">
        <w:rPr>
          <w:lang w:val="en-US"/>
        </w:rPr>
        <w:t xml:space="preserve">those </w:t>
      </w:r>
      <w:r w:rsidR="00A04F86" w:rsidRPr="00A04F86">
        <w:rPr>
          <w:lang w:val="en-US"/>
        </w:rPr>
        <w:t>activities.</w:t>
      </w:r>
      <w:r w:rsidR="00401DB9">
        <w:rPr>
          <w:lang w:val="en-US"/>
        </w:rPr>
        <w:t xml:space="preserve"> This could be made more concrete in the statute</w:t>
      </w:r>
      <w:r w:rsidR="00794582">
        <w:rPr>
          <w:lang w:val="en-US"/>
        </w:rPr>
        <w:t xml:space="preserve"> by creating a Commissioner</w:t>
      </w:r>
      <w:r w:rsidR="00794582" w:rsidRPr="00794582">
        <w:rPr>
          <w:lang w:val="en-US"/>
        </w:rPr>
        <w:t xml:space="preserve"> </w:t>
      </w:r>
      <w:r w:rsidR="00794582">
        <w:rPr>
          <w:lang w:val="en-US"/>
        </w:rPr>
        <w:t>as discussed in the previous section</w:t>
      </w:r>
      <w:r w:rsidR="00401DB9">
        <w:rPr>
          <w:lang w:val="en-US"/>
        </w:rPr>
        <w:t>. It also</w:t>
      </w:r>
      <w:r w:rsidR="00D01E71">
        <w:rPr>
          <w:lang w:val="en-US"/>
        </w:rPr>
        <w:t xml:space="preserve"> means paying attention to the</w:t>
      </w:r>
      <w:r w:rsidR="007E4F77" w:rsidRPr="007E4F77">
        <w:rPr>
          <w:lang w:val="en-US"/>
        </w:rPr>
        <w:t xml:space="preserve"> </w:t>
      </w:r>
      <w:r w:rsidR="007E4F77">
        <w:rPr>
          <w:lang w:val="en-US"/>
        </w:rPr>
        <w:t>expertise</w:t>
      </w:r>
      <w:r w:rsidR="00D01E71">
        <w:rPr>
          <w:lang w:val="en-US"/>
        </w:rPr>
        <w:t xml:space="preserve"> </w:t>
      </w:r>
      <w:r w:rsidR="007E4F77">
        <w:rPr>
          <w:lang w:val="en-US"/>
        </w:rPr>
        <w:t xml:space="preserve">and </w:t>
      </w:r>
      <w:r w:rsidR="00D01E71">
        <w:rPr>
          <w:lang w:val="en-US"/>
        </w:rPr>
        <w:t xml:space="preserve">values </w:t>
      </w:r>
      <w:r w:rsidR="00401DB9">
        <w:rPr>
          <w:lang w:val="en-US"/>
        </w:rPr>
        <w:t xml:space="preserve">that </w:t>
      </w:r>
      <w:r w:rsidR="007E4F77">
        <w:rPr>
          <w:lang w:val="en-US"/>
        </w:rPr>
        <w:t xml:space="preserve">the person appointed </w:t>
      </w:r>
      <w:r w:rsidR="00F9441C">
        <w:rPr>
          <w:lang w:val="en-US"/>
        </w:rPr>
        <w:t>should</w:t>
      </w:r>
      <w:r w:rsidR="00D01E71">
        <w:rPr>
          <w:lang w:val="en-US"/>
        </w:rPr>
        <w:t xml:space="preserve"> bring to the </w:t>
      </w:r>
      <w:r w:rsidR="00F9441C">
        <w:rPr>
          <w:lang w:val="en-US"/>
        </w:rPr>
        <w:t>job and specifying the expertise and values required in the statute</w:t>
      </w:r>
      <w:r w:rsidR="00D01E71">
        <w:rPr>
          <w:lang w:val="en-US"/>
        </w:rPr>
        <w:t>.</w:t>
      </w:r>
    </w:p>
    <w:p w:rsidR="003F5552" w:rsidRDefault="003F5552" w:rsidP="0049224A">
      <w:pPr>
        <w:rPr>
          <w:lang w:val="en-US"/>
        </w:rPr>
      </w:pPr>
      <w:r>
        <w:rPr>
          <w:lang w:val="en-US"/>
        </w:rPr>
        <w:t>Some examples include the following</w:t>
      </w:r>
      <w:r w:rsidR="0049224A">
        <w:rPr>
          <w:lang w:val="en-US"/>
        </w:rPr>
        <w:t xml:space="preserve"> from the statutory language appointing </w:t>
      </w:r>
      <w:r>
        <w:rPr>
          <w:lang w:val="en-US"/>
        </w:rPr>
        <w:t>the Australian Disability Discrimination Commissioner</w:t>
      </w:r>
      <w:r w:rsidR="0049224A">
        <w:rPr>
          <w:lang w:val="en-US"/>
        </w:rPr>
        <w:t>. T</w:t>
      </w:r>
      <w:r w:rsidR="00B259E6">
        <w:rPr>
          <w:lang w:val="en-US"/>
        </w:rPr>
        <w:t xml:space="preserve">he </w:t>
      </w:r>
      <w:r w:rsidR="00B259E6" w:rsidRPr="0049224A">
        <w:rPr>
          <w:i/>
          <w:lang w:val="en-US"/>
        </w:rPr>
        <w:t>DDA</w:t>
      </w:r>
      <w:r w:rsidR="00B259E6">
        <w:rPr>
          <w:lang w:val="en-US"/>
        </w:rPr>
        <w:t xml:space="preserve"> states:</w:t>
      </w:r>
    </w:p>
    <w:p w:rsidR="003F5552" w:rsidRPr="00683A12" w:rsidRDefault="003F5552" w:rsidP="00683A12">
      <w:pPr>
        <w:ind w:left="720"/>
        <w:rPr>
          <w:b/>
        </w:rPr>
      </w:pPr>
      <w:bookmarkStart w:id="17" w:name="_Toc495930959"/>
      <w:r w:rsidRPr="00683A12">
        <w:rPr>
          <w:b/>
        </w:rPr>
        <w:t>Part 6—Disability Discrimination Commissioner</w:t>
      </w:r>
      <w:bookmarkEnd w:id="17"/>
    </w:p>
    <w:p w:rsidR="003F5552" w:rsidRPr="00683A12" w:rsidRDefault="003F5552" w:rsidP="00683A12">
      <w:pPr>
        <w:ind w:left="720"/>
        <w:rPr>
          <w:b/>
        </w:rPr>
      </w:pPr>
      <w:bookmarkStart w:id="18" w:name="_Toc495930960"/>
      <w:r w:rsidRPr="00683A12">
        <w:rPr>
          <w:b/>
        </w:rPr>
        <w:t>113  Disability Discrimination Commissioner</w:t>
      </w:r>
      <w:bookmarkEnd w:id="18"/>
    </w:p>
    <w:p w:rsidR="003F5552" w:rsidRPr="00683A12" w:rsidRDefault="003F5552" w:rsidP="00683A12">
      <w:pPr>
        <w:ind w:left="720"/>
      </w:pPr>
      <w:r w:rsidRPr="00683A12">
        <w:tab/>
        <w:t>(1)</w:t>
      </w:r>
      <w:r w:rsidRPr="00683A12">
        <w:tab/>
        <w:t>There is to be a Disability Discrimination Commissioner, who is to be appointed by the Governor</w:t>
      </w:r>
      <w:r w:rsidRPr="00683A12">
        <w:noBreakHyphen/>
        <w:t>General.</w:t>
      </w:r>
    </w:p>
    <w:p w:rsidR="003F5552" w:rsidRPr="00683A12" w:rsidRDefault="003F5552" w:rsidP="00683A12">
      <w:pPr>
        <w:ind w:left="720"/>
      </w:pPr>
      <w:r w:rsidRPr="00683A12">
        <w:tab/>
        <w:t>(2)</w:t>
      </w:r>
      <w:r w:rsidRPr="00683A12">
        <w:tab/>
        <w:t>A person is not qualified to be appointed as the Disability Discrimination Commissioner unless the Minister is satisfied that the person has appropriate qualifications, knowledge or experience.</w:t>
      </w:r>
    </w:p>
    <w:p w:rsidR="003F5552" w:rsidRDefault="003F5552" w:rsidP="006B4C35">
      <w:pPr>
        <w:rPr>
          <w:lang w:val="en-AU"/>
        </w:rPr>
      </w:pPr>
    </w:p>
    <w:p w:rsidR="003F5552" w:rsidRDefault="0049224A" w:rsidP="006B4C35">
      <w:pPr>
        <w:rPr>
          <w:lang w:val="en-AU"/>
        </w:rPr>
      </w:pPr>
      <w:r>
        <w:rPr>
          <w:lang w:val="en-AU"/>
        </w:rPr>
        <w:t xml:space="preserve">The example from the DDA provides a significant amount of discretion to the Minister. </w:t>
      </w:r>
      <w:r w:rsidR="003F5552">
        <w:rPr>
          <w:lang w:val="en-AU"/>
        </w:rPr>
        <w:t>An example of a more detailed set of requirements is found in the</w:t>
      </w:r>
      <w:r w:rsidR="003F5552" w:rsidRPr="003F5552">
        <w:rPr>
          <w:i/>
          <w:lang w:val="en-AU"/>
        </w:rPr>
        <w:t xml:space="preserve"> Canadian Human Rights Act</w:t>
      </w:r>
      <w:r w:rsidR="00683A12" w:rsidRPr="0049224A">
        <w:rPr>
          <w:rStyle w:val="FootnoteReference"/>
          <w:lang w:val="en-AU"/>
        </w:rPr>
        <w:footnoteReference w:id="56"/>
      </w:r>
      <w:r w:rsidR="00683A12" w:rsidRPr="0049224A">
        <w:rPr>
          <w:lang w:val="en-AU"/>
        </w:rPr>
        <w:t xml:space="preserve"> </w:t>
      </w:r>
      <w:r w:rsidR="00683A12">
        <w:rPr>
          <w:lang w:val="en-AU"/>
        </w:rPr>
        <w:t>:</w:t>
      </w:r>
    </w:p>
    <w:p w:rsidR="00B259E6" w:rsidRPr="00683A12" w:rsidRDefault="00B259E6" w:rsidP="00683A12">
      <w:pPr>
        <w:ind w:left="720"/>
        <w:rPr>
          <w:b/>
          <w:lang w:val="en-AU"/>
        </w:rPr>
      </w:pPr>
      <w:r w:rsidRPr="00683A12">
        <w:rPr>
          <w:b/>
          <w:lang w:val="en-AU"/>
        </w:rPr>
        <w:t>48.1</w:t>
      </w:r>
      <w:r w:rsidRPr="00683A12">
        <w:rPr>
          <w:b/>
        </w:rPr>
        <w:t xml:space="preserve"> </w:t>
      </w:r>
      <w:r w:rsidRPr="00683A12">
        <w:rPr>
          <w:b/>
          <w:lang w:val="en-AU"/>
        </w:rPr>
        <w:t>Quali</w:t>
      </w:r>
      <w:r w:rsidRPr="00683A12">
        <w:rPr>
          <w:rFonts w:ascii="Calibri" w:hAnsi="Calibri" w:cs="Calibri"/>
          <w:b/>
          <w:lang w:val="en-AU"/>
        </w:rPr>
        <w:t>fi</w:t>
      </w:r>
      <w:r w:rsidRPr="00683A12">
        <w:rPr>
          <w:b/>
          <w:lang w:val="en-AU"/>
        </w:rPr>
        <w:t>cations for appointment of members</w:t>
      </w:r>
      <w:r w:rsidR="00683A12" w:rsidRPr="00683A12">
        <w:rPr>
          <w:b/>
          <w:lang w:val="en-AU"/>
        </w:rPr>
        <w:t xml:space="preserve"> [of the Canadian Human Rights Tribunal]</w:t>
      </w:r>
    </w:p>
    <w:p w:rsidR="00B259E6" w:rsidRPr="00B259E6" w:rsidRDefault="00B259E6" w:rsidP="00683A12">
      <w:pPr>
        <w:ind w:left="720"/>
        <w:rPr>
          <w:lang w:val="en-AU"/>
        </w:rPr>
      </w:pPr>
      <w:r w:rsidRPr="00B259E6">
        <w:rPr>
          <w:lang w:val="en-AU"/>
        </w:rPr>
        <w:t>(2) Persons appointed as members of the Tribunal must</w:t>
      </w:r>
    </w:p>
    <w:p w:rsidR="00B259E6" w:rsidRPr="00B259E6" w:rsidRDefault="00B259E6" w:rsidP="00683A12">
      <w:pPr>
        <w:ind w:left="720"/>
        <w:rPr>
          <w:lang w:val="en-AU"/>
        </w:rPr>
      </w:pPr>
      <w:r w:rsidRPr="00B259E6">
        <w:rPr>
          <w:lang w:val="en-AU"/>
        </w:rPr>
        <w:t>have experience, expertise and interest in, and sensitivity</w:t>
      </w:r>
    </w:p>
    <w:p w:rsidR="00254ED3" w:rsidRDefault="00B259E6" w:rsidP="00683A12">
      <w:pPr>
        <w:ind w:left="720"/>
        <w:rPr>
          <w:lang w:val="en-AU"/>
        </w:rPr>
      </w:pPr>
      <w:r w:rsidRPr="00B259E6">
        <w:rPr>
          <w:lang w:val="en-AU"/>
        </w:rPr>
        <w:t>to, human rights.</w:t>
      </w:r>
      <w:r w:rsidRPr="00B259E6">
        <w:rPr>
          <w:lang w:val="en-AU"/>
        </w:rPr>
        <w:cr/>
      </w:r>
    </w:p>
    <w:p w:rsidR="00B259E6" w:rsidRDefault="00B259E6" w:rsidP="00683A12">
      <w:pPr>
        <w:jc w:val="both"/>
        <w:rPr>
          <w:lang w:val="en-AU"/>
        </w:rPr>
      </w:pPr>
      <w:r>
        <w:rPr>
          <w:lang w:val="en-AU"/>
        </w:rPr>
        <w:t>The proposed Commissioner</w:t>
      </w:r>
      <w:r w:rsidR="00683A12">
        <w:rPr>
          <w:lang w:val="en-AU"/>
        </w:rPr>
        <w:t xml:space="preserve"> should have experience in disability rights, advocacy, research, public education, community affairs and relevant law</w:t>
      </w:r>
      <w:r w:rsidR="0049224A">
        <w:rPr>
          <w:lang w:val="en-AU"/>
        </w:rPr>
        <w:t>. They should also possess the ability</w:t>
      </w:r>
      <w:r w:rsidR="00683A12">
        <w:rPr>
          <w:lang w:val="en-AU"/>
        </w:rPr>
        <w:t xml:space="preserve"> to move an agenda forward that will bring the </w:t>
      </w:r>
      <w:r w:rsidR="0049224A">
        <w:rPr>
          <w:lang w:val="en-AU"/>
        </w:rPr>
        <w:t xml:space="preserve">disability community, the </w:t>
      </w:r>
      <w:r w:rsidR="00683A12">
        <w:rPr>
          <w:lang w:val="en-AU"/>
        </w:rPr>
        <w:t>public and public servants to work together with the Commissioner to advance disability, accessibility and inclusion issues.</w:t>
      </w:r>
      <w:r w:rsidR="0049224A">
        <w:rPr>
          <w:lang w:val="en-AU"/>
        </w:rPr>
        <w:t xml:space="preserve"> Language similar to the appointment provision under the </w:t>
      </w:r>
      <w:r w:rsidR="0049224A" w:rsidRPr="0049224A">
        <w:rPr>
          <w:i/>
          <w:lang w:val="en-AU"/>
        </w:rPr>
        <w:t xml:space="preserve">Canadian Human Right Act </w:t>
      </w:r>
      <w:r w:rsidR="0049224A">
        <w:rPr>
          <w:lang w:val="en-AU"/>
        </w:rPr>
        <w:t>for members of the Canadian Human Rights Tribunal could be fashioned to establish a Commissioner with appropriate qualifications under the proposed federal accessibility legislation.</w:t>
      </w:r>
    </w:p>
    <w:p w:rsidR="00B259E6" w:rsidRDefault="00B259E6" w:rsidP="00B259E6">
      <w:pPr>
        <w:rPr>
          <w:lang w:val="en-AU"/>
        </w:rPr>
      </w:pPr>
    </w:p>
    <w:p w:rsidR="00363AB0" w:rsidRDefault="006A076B" w:rsidP="006A076B">
      <w:pPr>
        <w:pStyle w:val="Heading1"/>
        <w:numPr>
          <w:ilvl w:val="0"/>
          <w:numId w:val="15"/>
        </w:numPr>
      </w:pPr>
      <w:bookmarkStart w:id="19" w:name="_Toc505751505"/>
      <w:r>
        <w:t xml:space="preserve">Other </w:t>
      </w:r>
      <w:r w:rsidR="00360765">
        <w:t>Lessons L</w:t>
      </w:r>
      <w:r>
        <w:t>earned–</w:t>
      </w:r>
      <w:r w:rsidR="008F6A70">
        <w:t xml:space="preserve"> </w:t>
      </w:r>
      <w:r w:rsidR="00360765">
        <w:t>S</w:t>
      </w:r>
      <w:r w:rsidR="00363AB0">
        <w:t>uccesses</w:t>
      </w:r>
      <w:r>
        <w:t>,</w:t>
      </w:r>
      <w:r w:rsidR="00363AB0">
        <w:t xml:space="preserve"> </w:t>
      </w:r>
      <w:r w:rsidR="00360765">
        <w:t>C</w:t>
      </w:r>
      <w:r w:rsidR="00363AB0">
        <w:t>hallenges</w:t>
      </w:r>
      <w:r>
        <w:t xml:space="preserve"> </w:t>
      </w:r>
      <w:r w:rsidR="00F16F08">
        <w:t>&amp;</w:t>
      </w:r>
      <w:r>
        <w:t xml:space="preserve"> </w:t>
      </w:r>
      <w:r w:rsidR="00360765">
        <w:t>Key C</w:t>
      </w:r>
      <w:r>
        <w:t>onsiderations</w:t>
      </w:r>
      <w:r w:rsidR="00360765">
        <w:t xml:space="preserve"> for the Federal Government</w:t>
      </w:r>
      <w:bookmarkEnd w:id="19"/>
      <w:r w:rsidR="00363AB0">
        <w:t xml:space="preserve"> </w:t>
      </w:r>
    </w:p>
    <w:p w:rsidR="00DE3476" w:rsidRDefault="00DE3476"/>
    <w:p w:rsidR="0082306F" w:rsidRDefault="0082306F" w:rsidP="002423D4">
      <w:pPr>
        <w:jc w:val="both"/>
      </w:pPr>
      <w:r>
        <w:t xml:space="preserve">One piece of advice received from another jurisdiction was that it </w:t>
      </w:r>
      <w:r w:rsidR="00C37B19">
        <w:t>can be useful</w:t>
      </w:r>
      <w:r>
        <w:t xml:space="preserve"> for </w:t>
      </w:r>
      <w:r w:rsidR="00C37B19">
        <w:t>a</w:t>
      </w:r>
      <w:r>
        <w:t xml:space="preserve"> country to work within the types of laws that are familiar. While this does not mean refraining from being innovators in combating disability discrimination, the point </w:t>
      </w:r>
      <w:r w:rsidR="00C67FF2">
        <w:t>is</w:t>
      </w:r>
      <w:r>
        <w:t xml:space="preserve"> that</w:t>
      </w:r>
      <w:r w:rsidRPr="0082306F">
        <w:t xml:space="preserve"> </w:t>
      </w:r>
      <w:r>
        <w:t xml:space="preserve">this jurisdiction had had success in using </w:t>
      </w:r>
      <w:r w:rsidR="00C67FF2">
        <w:t xml:space="preserve">familiar </w:t>
      </w:r>
      <w:r>
        <w:t xml:space="preserve">statutory language from </w:t>
      </w:r>
      <w:r w:rsidR="00C67FF2">
        <w:t>legislation</w:t>
      </w:r>
      <w:r>
        <w:t xml:space="preserve"> that became redundant once the newer disability law </w:t>
      </w:r>
      <w:r w:rsidR="00C67FF2">
        <w:t xml:space="preserve">was in </w:t>
      </w:r>
      <w:r>
        <w:t>effect.</w:t>
      </w:r>
    </w:p>
    <w:p w:rsidR="00995782" w:rsidRDefault="006A076B" w:rsidP="002423D4">
      <w:pPr>
        <w:jc w:val="both"/>
      </w:pPr>
      <w:r>
        <w:t>Other key considerations raised by interviewees include the name of the statute. The Australian Disability Discrimination Commissioner mentioned, for example, that calling the</w:t>
      </w:r>
      <w:r w:rsidR="00121F65">
        <w:t>ir</w:t>
      </w:r>
      <w:r>
        <w:t xml:space="preserve"> </w:t>
      </w:r>
      <w:r w:rsidR="00121F65">
        <w:t>A</w:t>
      </w:r>
      <w:r>
        <w:t xml:space="preserve">ct the </w:t>
      </w:r>
      <w:r w:rsidR="00FD1001" w:rsidRPr="00FD1001">
        <w:rPr>
          <w:i/>
        </w:rPr>
        <w:t>Disability Discrimination Act</w:t>
      </w:r>
      <w:r>
        <w:t xml:space="preserve"> and the</w:t>
      </w:r>
      <w:r w:rsidR="00121F65">
        <w:t xml:space="preserve"> Commissioner the </w:t>
      </w:r>
      <w:r>
        <w:t>Disability Discrimination</w:t>
      </w:r>
      <w:r w:rsidRPr="006A076B">
        <w:t xml:space="preserve"> </w:t>
      </w:r>
      <w:r>
        <w:t xml:space="preserve">Commissioner had a negative spin, inspiring people to think that the job was all about finding people who had done wrong. This could be avoided with </w:t>
      </w:r>
      <w:r w:rsidR="001975A5">
        <w:t xml:space="preserve">a more positive sounding name. This </w:t>
      </w:r>
      <w:r w:rsidR="00121F65">
        <w:t>build</w:t>
      </w:r>
      <w:r w:rsidR="001975A5">
        <w:t>s</w:t>
      </w:r>
      <w:r w:rsidR="00DE3476">
        <w:t xml:space="preserve"> on </w:t>
      </w:r>
      <w:r w:rsidR="00121F65">
        <w:t xml:space="preserve">ideas coming out of Ontario that </w:t>
      </w:r>
      <w:r w:rsidR="00DE3476">
        <w:t>the mobilizing language today is about inclusion and accessibility.</w:t>
      </w:r>
      <w:r w:rsidR="0082306F">
        <w:t xml:space="preserve">  At the same time, </w:t>
      </w:r>
      <w:r w:rsidR="001975A5">
        <w:t xml:space="preserve">one wonders if </w:t>
      </w:r>
      <w:r w:rsidR="0082306F">
        <w:t>there may be concerns by the disability community about losing the momentum gain</w:t>
      </w:r>
      <w:r w:rsidR="001975A5">
        <w:t>ed</w:t>
      </w:r>
      <w:r w:rsidR="0082306F">
        <w:t xml:space="preserve"> to protect disability rights by </w:t>
      </w:r>
      <w:r w:rsidR="00C67FF2">
        <w:t xml:space="preserve">incorporating </w:t>
      </w:r>
      <w:r w:rsidR="0082306F">
        <w:t xml:space="preserve">those rights into a </w:t>
      </w:r>
      <w:r w:rsidR="00C67FF2">
        <w:t xml:space="preserve">somewhat </w:t>
      </w:r>
      <w:r w:rsidR="0082306F">
        <w:t xml:space="preserve">broader </w:t>
      </w:r>
      <w:r w:rsidR="00C67FF2">
        <w:t>envelope</w:t>
      </w:r>
      <w:r w:rsidR="00C37B19">
        <w:t xml:space="preserve">. If </w:t>
      </w:r>
      <w:r w:rsidR="0082306F">
        <w:t>time</w:t>
      </w:r>
      <w:r w:rsidR="00C67FF2">
        <w:t xml:space="preserve"> permits</w:t>
      </w:r>
      <w:r w:rsidR="0082306F">
        <w:t>, this may be an issu</w:t>
      </w:r>
      <w:r w:rsidR="00C67FF2">
        <w:t>e to consult on or to consider in light of any</w:t>
      </w:r>
      <w:r w:rsidR="0082306F">
        <w:t xml:space="preserve"> previous consultations that </w:t>
      </w:r>
      <w:r w:rsidR="00C67FF2">
        <w:t xml:space="preserve">may have </w:t>
      </w:r>
      <w:r w:rsidR="0082306F">
        <w:t>touched on this question.</w:t>
      </w:r>
    </w:p>
    <w:p w:rsidR="000866B6" w:rsidRDefault="000866B6" w:rsidP="002423D4">
      <w:pPr>
        <w:jc w:val="both"/>
      </w:pPr>
      <w:r>
        <w:t>Suggestions were also made for collaboration across federal</w:t>
      </w:r>
      <w:r w:rsidR="00C67FF2">
        <w:t>,</w:t>
      </w:r>
      <w:r>
        <w:t xml:space="preserve"> provincial and territorial governments in discussing standards so that an individual with a disability in a location such as Ottawa</w:t>
      </w:r>
      <w:r w:rsidR="001975A5">
        <w:t>,</w:t>
      </w:r>
      <w:r>
        <w:t xml:space="preserve"> where </w:t>
      </w:r>
      <w:r w:rsidR="00EA7340">
        <w:t>more than one jurisdiction may apply</w:t>
      </w:r>
      <w:r w:rsidR="001975A5">
        <w:t>,</w:t>
      </w:r>
      <w:r w:rsidR="00EA7340">
        <w:t xml:space="preserve"> can have greater uniformity in the law.</w:t>
      </w:r>
    </w:p>
    <w:p w:rsidR="00C37B19" w:rsidRDefault="002423D4" w:rsidP="00BE7B74">
      <w:pPr>
        <w:jc w:val="both"/>
      </w:pPr>
      <w:r>
        <w:t>A final large consideration was presented by the Canadian Human Rights Commission. The</w:t>
      </w:r>
      <w:r w:rsidR="000D2F15">
        <w:t xml:space="preserve">y have </w:t>
      </w:r>
      <w:r>
        <w:t xml:space="preserve">raised the </w:t>
      </w:r>
      <w:r w:rsidR="000D2F15">
        <w:t>question</w:t>
      </w:r>
      <w:r>
        <w:t xml:space="preserve"> of whether </w:t>
      </w:r>
      <w:r w:rsidR="000D2F15">
        <w:t xml:space="preserve">the administration of </w:t>
      </w:r>
      <w:r>
        <w:t>the</w:t>
      </w:r>
      <w:r w:rsidR="000D2F15">
        <w:t xml:space="preserve"> proposed federal</w:t>
      </w:r>
      <w:r>
        <w:t xml:space="preserve"> accessibility legislation should form part of the work of the Canadian Human Rights Commission. </w:t>
      </w:r>
      <w:r w:rsidR="000D2F15">
        <w:t>The</w:t>
      </w:r>
      <w:r>
        <w:t xml:space="preserve"> rationale </w:t>
      </w:r>
      <w:r w:rsidR="000D2F15">
        <w:t xml:space="preserve">given </w:t>
      </w:r>
      <w:r>
        <w:t xml:space="preserve">for doing this </w:t>
      </w:r>
      <w:r w:rsidR="000D2F15">
        <w:t>is, in part, t</w:t>
      </w:r>
      <w:r>
        <w:t xml:space="preserve">hat the Commission is the National Human Rights Institution for UN matters including </w:t>
      </w:r>
      <w:r w:rsidR="00193FEB">
        <w:t xml:space="preserve">those related to </w:t>
      </w:r>
      <w:r>
        <w:t>the CRPD.</w:t>
      </w:r>
      <w:r w:rsidR="00004A15">
        <w:t xml:space="preserve"> The Commission also has </w:t>
      </w:r>
      <w:r>
        <w:t>expertise in human rights and audits</w:t>
      </w:r>
      <w:r w:rsidR="00193FEB">
        <w:t>,</w:t>
      </w:r>
      <w:r>
        <w:t xml:space="preserve"> as mentioned above. </w:t>
      </w:r>
      <w:r w:rsidR="00C36E37">
        <w:t>T</w:t>
      </w:r>
      <w:r>
        <w:t xml:space="preserve">here are institutional benefits </w:t>
      </w:r>
      <w:r w:rsidR="00C36E37">
        <w:t xml:space="preserve">that can be </w:t>
      </w:r>
      <w:r w:rsidR="00193FEB">
        <w:t>gained by</w:t>
      </w:r>
      <w:r>
        <w:t xml:space="preserve"> having the functioning of the</w:t>
      </w:r>
      <w:r w:rsidR="000D2F15">
        <w:t xml:space="preserve"> proposed federal </w:t>
      </w:r>
      <w:r>
        <w:t xml:space="preserve"> legislation coincide with the Canadian Human Rights Commission</w:t>
      </w:r>
      <w:r w:rsidR="000D2F15">
        <w:t>’s</w:t>
      </w:r>
      <w:r>
        <w:t xml:space="preserve"> work. There are definitely roles </w:t>
      </w:r>
      <w:r w:rsidR="002273FF">
        <w:t>that</w:t>
      </w:r>
      <w:r>
        <w:t xml:space="preserve"> the Canadian Human Rights Commission</w:t>
      </w:r>
      <w:r w:rsidR="002273FF">
        <w:t xml:space="preserve"> can play</w:t>
      </w:r>
      <w:r>
        <w:t xml:space="preserve">, including a role in assisting with intersectionality and inclusive equality. However, it would be wise to consult or consider the opinions of members of the disability community and organizations dedicated to disability issues before the large amount of work that has been done to obtain </w:t>
      </w:r>
      <w:r w:rsidR="00C36E37">
        <w:t xml:space="preserve">a distinct </w:t>
      </w:r>
      <w:r>
        <w:t>proactive legislation</w:t>
      </w:r>
      <w:r w:rsidR="00C36E37">
        <w:t xml:space="preserve"> through standard-setting</w:t>
      </w:r>
      <w:r w:rsidR="002273FF">
        <w:t xml:space="preserve"> is attached</w:t>
      </w:r>
      <w:r>
        <w:t xml:space="preserve"> </w:t>
      </w:r>
      <w:r w:rsidR="002273FF">
        <w:t xml:space="preserve">to </w:t>
      </w:r>
      <w:r>
        <w:t>a system</w:t>
      </w:r>
      <w:r w:rsidR="002273FF">
        <w:t xml:space="preserve"> known for reactive regulation</w:t>
      </w:r>
      <w:r>
        <w:t xml:space="preserve">. </w:t>
      </w:r>
      <w:r w:rsidR="00C36E37">
        <w:t>In this study, t</w:t>
      </w:r>
      <w:r>
        <w:t xml:space="preserve">he idea of having human rights commissions </w:t>
      </w:r>
      <w:r w:rsidR="002273FF">
        <w:t>take charge of</w:t>
      </w:r>
      <w:r>
        <w:t xml:space="preserve"> accessibility legislation was met by confusion if not surprise </w:t>
      </w:r>
      <w:r w:rsidR="002273FF">
        <w:t xml:space="preserve">by government official interviewees, </w:t>
      </w:r>
      <w:r>
        <w:t xml:space="preserve">as the proactive system was a response to the </w:t>
      </w:r>
      <w:r w:rsidR="002273FF">
        <w:t xml:space="preserve">challenges of the </w:t>
      </w:r>
      <w:r>
        <w:t>reactive regulatory approach of the commissions.</w:t>
      </w:r>
    </w:p>
    <w:p w:rsidR="00C37B19" w:rsidRDefault="002273FF" w:rsidP="00C36E37">
      <w:pPr>
        <w:jc w:val="both"/>
      </w:pPr>
      <w:r>
        <w:t xml:space="preserve">In summary, working with familiar statutory </w:t>
      </w:r>
      <w:r w:rsidR="00C36E37">
        <w:t>terminology</w:t>
      </w:r>
      <w:r>
        <w:t xml:space="preserve">, using the language of accessibility and inclusion, keeping </w:t>
      </w:r>
      <w:r w:rsidR="00C36E37">
        <w:t xml:space="preserve">a place for </w:t>
      </w:r>
      <w:r>
        <w:t>federal provincial and territorial consultation and the possibility of using the Canadian Human Rights Commission to administer the proposed federal accessibility legislation are additional considerations derived from interviews conducted with government officials for this study.</w:t>
      </w:r>
    </w:p>
    <w:p w:rsidR="00EB2728" w:rsidRDefault="00EB2728" w:rsidP="00EB2728">
      <w:pPr>
        <w:pStyle w:val="Heading1"/>
        <w:numPr>
          <w:ilvl w:val="0"/>
          <w:numId w:val="15"/>
        </w:numPr>
      </w:pPr>
      <w:bookmarkStart w:id="20" w:name="_Toc505751506"/>
      <w:r>
        <w:t>Summary of Recommendations</w:t>
      </w:r>
      <w:bookmarkEnd w:id="20"/>
      <w:r>
        <w:t xml:space="preserve"> </w:t>
      </w:r>
    </w:p>
    <w:p w:rsidR="00EB2728" w:rsidRPr="005807FA" w:rsidRDefault="00EB2728" w:rsidP="00EB2728">
      <w:r w:rsidRPr="005807FA">
        <w:t>In conclusion,</w:t>
      </w:r>
      <w:r>
        <w:t xml:space="preserve"> the following recommendations are </w:t>
      </w:r>
      <w:r w:rsidRPr="005807FA">
        <w:t>based on the research</w:t>
      </w:r>
      <w:r>
        <w:t xml:space="preserve"> findings o</w:t>
      </w:r>
      <w:r w:rsidR="00E13521">
        <w:t>f</w:t>
      </w:r>
      <w:r>
        <w:t xml:space="preserve"> this study</w:t>
      </w:r>
      <w:r w:rsidRPr="005807FA">
        <w:t>:</w:t>
      </w:r>
    </w:p>
    <w:p w:rsidR="00EB2728" w:rsidRDefault="00EB2728" w:rsidP="00D71D91">
      <w:pPr>
        <w:pStyle w:val="ListParagraph"/>
        <w:numPr>
          <w:ilvl w:val="0"/>
          <w:numId w:val="32"/>
        </w:numPr>
        <w:spacing w:before="240"/>
        <w:jc w:val="both"/>
      </w:pPr>
      <w:r>
        <w:t xml:space="preserve">Ensure that all governance functions in the proposed federal accessibility legislation </w:t>
      </w:r>
      <w:r w:rsidR="00E13521">
        <w:t xml:space="preserve">(FAL) </w:t>
      </w:r>
      <w:r>
        <w:t xml:space="preserve">promote inclusive equality —a theoretical framework put forward by the UN that focuses on recognizing the intersectionality of individuals with disabilities in their experiences of disability discrimination. Power relations and the socio-historical context surrounding legal efforts to realize equality by people with disabilities within a reactive regulatory system should also be considered through this lens. </w:t>
      </w:r>
    </w:p>
    <w:p w:rsidR="00EB2728" w:rsidRDefault="00EB2728" w:rsidP="00D71D91">
      <w:pPr>
        <w:pStyle w:val="ListParagraph"/>
        <w:numPr>
          <w:ilvl w:val="0"/>
          <w:numId w:val="32"/>
        </w:numPr>
        <w:spacing w:before="240"/>
        <w:jc w:val="both"/>
      </w:pPr>
      <w:r>
        <w:t>A</w:t>
      </w:r>
      <w:r w:rsidRPr="00C46ABF">
        <w:t xml:space="preserve">nalyze all the functions of the proposed </w:t>
      </w:r>
      <w:r w:rsidRPr="00CF4284">
        <w:t>federal accessibility legislation</w:t>
      </w:r>
      <w:r>
        <w:t xml:space="preserve"> </w:t>
      </w:r>
      <w:r w:rsidRPr="00C46ABF">
        <w:t>with an eye to determin</w:t>
      </w:r>
      <w:r>
        <w:t>ing</w:t>
      </w:r>
      <w:r w:rsidRPr="00C46ABF">
        <w:t xml:space="preserve"> whether they promote an inclusive approach to equality for persons with disabilities. </w:t>
      </w:r>
    </w:p>
    <w:p w:rsidR="00B04255" w:rsidRPr="00B04255" w:rsidRDefault="00EB2728" w:rsidP="00EB2728">
      <w:pPr>
        <w:pStyle w:val="ListParagraph"/>
        <w:numPr>
          <w:ilvl w:val="0"/>
          <w:numId w:val="32"/>
        </w:numPr>
        <w:jc w:val="both"/>
      </w:pPr>
      <w:r w:rsidRPr="006C3AA6">
        <w:t xml:space="preserve">In order to promote inclusive equality, the wording of the statute and standards should </w:t>
      </w:r>
      <w:r>
        <w:t>foster</w:t>
      </w:r>
      <w:r w:rsidRPr="006C3AA6">
        <w:t xml:space="preserve"> an interse</w:t>
      </w:r>
      <w:r>
        <w:t>ctional approach. T</w:t>
      </w:r>
      <w:r w:rsidRPr="006C3AA6">
        <w:t>he</w:t>
      </w:r>
      <w:r w:rsidR="000B4D26">
        <w:t xml:space="preserve"> proposed</w:t>
      </w:r>
      <w:r w:rsidRPr="006C3AA6">
        <w:t xml:space="preserve"> </w:t>
      </w:r>
      <w:r>
        <w:t xml:space="preserve">federal accessibility legislation </w:t>
      </w:r>
      <w:r w:rsidRPr="006C3AA6">
        <w:t>could state</w:t>
      </w:r>
      <w:r>
        <w:t>, for example,</w:t>
      </w:r>
      <w:r w:rsidRPr="006C3AA6">
        <w:t xml:space="preserve"> that: </w:t>
      </w:r>
      <w:r w:rsidR="00B04255" w:rsidRPr="00D92CED">
        <w:rPr>
          <w:b/>
          <w:i/>
        </w:rPr>
        <w:t>“</w:t>
      </w:r>
      <w:r w:rsidR="00B04255">
        <w:rPr>
          <w:b/>
          <w:i/>
        </w:rPr>
        <w:t>H</w:t>
      </w:r>
      <w:r w:rsidR="00B04255" w:rsidRPr="00D92CED">
        <w:rPr>
          <w:b/>
          <w:i/>
        </w:rPr>
        <w:t>aving regard to gender identity, race, sexual orientation, age, religion, family status, and other social markers,</w:t>
      </w:r>
      <w:r w:rsidR="00B04255">
        <w:rPr>
          <w:b/>
          <w:i/>
        </w:rPr>
        <w:t xml:space="preserve"> i</w:t>
      </w:r>
      <w:r w:rsidR="00B04255" w:rsidRPr="00D92CED">
        <w:rPr>
          <w:b/>
          <w:i/>
        </w:rPr>
        <w:t>t is a ground of discrimination to deny to persons with disabilities, on an equal basis with others, access to the physical environment, to transportation, to information and communications, including information and communications technologies and systems, and to other facilities and services open or provided to the public, both in urban and in rural areas.”</w:t>
      </w:r>
    </w:p>
    <w:p w:rsidR="00EB2728" w:rsidRDefault="00EB2728" w:rsidP="00EB2728">
      <w:pPr>
        <w:pStyle w:val="ListParagraph"/>
        <w:numPr>
          <w:ilvl w:val="0"/>
          <w:numId w:val="32"/>
        </w:numPr>
        <w:jc w:val="both"/>
      </w:pPr>
      <w:r>
        <w:t xml:space="preserve">To solidify the idea of accessibility as human right, the federal government should </w:t>
      </w:r>
      <w:r w:rsidR="00746B92">
        <w:t>state</w:t>
      </w:r>
      <w:r>
        <w:t xml:space="preserve"> expressly in the new statute that there is a human right to accessibility. The government should consider stating in the federal accessibility legislation: </w:t>
      </w:r>
      <w:r w:rsidRPr="00B04255">
        <w:rPr>
          <w:b/>
        </w:rPr>
        <w:t>“</w:t>
      </w:r>
      <w:r w:rsidRPr="00B04255">
        <w:rPr>
          <w:b/>
          <w:i/>
        </w:rPr>
        <w:t>It is a ground of discrimination not to provide accessibility and inclusion to people with disabilities to the point of undue hardship</w:t>
      </w:r>
      <w:r>
        <w:t>”.</w:t>
      </w:r>
    </w:p>
    <w:p w:rsidR="00EB2728" w:rsidRDefault="00EB2728" w:rsidP="00EB2728">
      <w:pPr>
        <w:pStyle w:val="ListParagraph"/>
        <w:numPr>
          <w:ilvl w:val="0"/>
          <w:numId w:val="32"/>
        </w:numPr>
        <w:jc w:val="both"/>
      </w:pPr>
      <w:r>
        <w:t>T</w:t>
      </w:r>
      <w:r w:rsidRPr="00FF5796">
        <w:t>he federal government should shar</w:t>
      </w:r>
      <w:r w:rsidR="00746B92">
        <w:t>e</w:t>
      </w:r>
      <w:r w:rsidRPr="00FF5796">
        <w:t xml:space="preserve"> responsibility for developing standards among ministers with relevant subject</w:t>
      </w:r>
      <w:r>
        <w:t>-matter</w:t>
      </w:r>
      <w:r w:rsidRPr="00FF5796">
        <w:t xml:space="preserve"> portfolios. </w:t>
      </w:r>
      <w:r w:rsidR="00FE3549" w:rsidRPr="00775C20">
        <w:rPr>
          <w:lang w:val="en-US"/>
        </w:rPr>
        <w:t>The federal government minister or agency responsible for taking the lead on accessibility standards development should consult with relevant subject matter ministers.</w:t>
      </w:r>
      <w:r w:rsidR="00FE3549">
        <w:rPr>
          <w:color w:val="FF0000"/>
          <w:lang w:val="en-US"/>
        </w:rPr>
        <w:t xml:space="preserve"> </w:t>
      </w:r>
      <w:r w:rsidRPr="00FF5796">
        <w:t xml:space="preserve">This will assist in making accessibility issues pervasive across </w:t>
      </w:r>
      <w:r>
        <w:t>important</w:t>
      </w:r>
      <w:r w:rsidRPr="00FF5796">
        <w:t xml:space="preserve"> social areas.</w:t>
      </w:r>
    </w:p>
    <w:p w:rsidR="00EB2728" w:rsidRDefault="00EB2728" w:rsidP="00EB2728">
      <w:pPr>
        <w:pStyle w:val="ListParagraph"/>
        <w:numPr>
          <w:ilvl w:val="0"/>
          <w:numId w:val="32"/>
        </w:numPr>
        <w:jc w:val="both"/>
      </w:pPr>
      <w:r>
        <w:t>T</w:t>
      </w:r>
      <w:r w:rsidRPr="00FF5796">
        <w:t>he federal government should maintain the consultative approach to developing standards</w:t>
      </w:r>
      <w:r>
        <w:t xml:space="preserve"> that has been established in the accessibility legislation in Ontario, Manitoba and Nova Scotia,</w:t>
      </w:r>
      <w:r w:rsidRPr="00FF5796">
        <w:t xml:space="preserve"> particularly as it is in keeping with the CRPD requirements to include people with disabilities in the development of laws and policies that affect them.  </w:t>
      </w:r>
    </w:p>
    <w:p w:rsidR="00EB2728" w:rsidRDefault="00EB2728" w:rsidP="00EB2728">
      <w:pPr>
        <w:pStyle w:val="ListParagraph"/>
        <w:numPr>
          <w:ilvl w:val="0"/>
          <w:numId w:val="32"/>
        </w:numPr>
        <w:jc w:val="both"/>
      </w:pPr>
      <w:r w:rsidRPr="006C3458">
        <w:t>More technical</w:t>
      </w:r>
      <w:r>
        <w:t xml:space="preserve"> and human rights</w:t>
      </w:r>
      <w:r w:rsidRPr="006C3458">
        <w:t xml:space="preserve"> </w:t>
      </w:r>
      <w:r>
        <w:t>supports</w:t>
      </w:r>
      <w:r w:rsidRPr="006C3458">
        <w:t xml:space="preserve"> </w:t>
      </w:r>
      <w:r>
        <w:t>sh</w:t>
      </w:r>
      <w:r w:rsidRPr="006C3458">
        <w:t>ould be brought into the development of standards.</w:t>
      </w:r>
      <w:r>
        <w:t xml:space="preserve"> T</w:t>
      </w:r>
      <w:r w:rsidRPr="00FF5796">
        <w:t>echnical expertise could usefully be brought into the development of standards so that the burden of finding the right technical tools does not rest on members of the disability community who may not necessarily have that technical knowledge.</w:t>
      </w:r>
      <w:r w:rsidRPr="008A0A23">
        <w:t xml:space="preserve"> </w:t>
      </w:r>
      <w:r w:rsidRPr="00842D1C">
        <w:t>The federal government should</w:t>
      </w:r>
      <w:r>
        <w:t xml:space="preserve"> also</w:t>
      </w:r>
      <w:r w:rsidRPr="00842D1C">
        <w:t xml:space="preserve"> make efforts to ensure that </w:t>
      </w:r>
      <w:r>
        <w:t>human rights law experts (who</w:t>
      </w:r>
      <w:r w:rsidRPr="00842D1C">
        <w:t xml:space="preserve"> could be members of the </w:t>
      </w:r>
      <w:r>
        <w:t>Canadian Human Rights Commission (</w:t>
      </w:r>
      <w:r w:rsidRPr="00842D1C">
        <w:t>CHRC)</w:t>
      </w:r>
      <w:r>
        <w:t>)</w:t>
      </w:r>
      <w:r w:rsidRPr="00842D1C">
        <w:t xml:space="preserve"> participate in the design of standards.</w:t>
      </w:r>
    </w:p>
    <w:p w:rsidR="00EB2728" w:rsidRDefault="00EB2728" w:rsidP="00EB2728">
      <w:pPr>
        <w:pStyle w:val="ListParagraph"/>
        <w:numPr>
          <w:ilvl w:val="0"/>
          <w:numId w:val="32"/>
        </w:numPr>
        <w:jc w:val="both"/>
      </w:pPr>
      <w:r>
        <w:t xml:space="preserve">With respect to the connection between accessibility standards and antidiscrimination (human rights) law, </w:t>
      </w:r>
      <w:r w:rsidR="00E13521">
        <w:t>i</w:t>
      </w:r>
      <w:r>
        <w:t>t</w:t>
      </w:r>
      <w:r w:rsidRPr="0001211D">
        <w:t xml:space="preserve"> is not unusual </w:t>
      </w:r>
      <w:r>
        <w:t xml:space="preserve">for accessibility legislation to </w:t>
      </w:r>
      <w:r w:rsidRPr="0001211D">
        <w:t>provid</w:t>
      </w:r>
      <w:r>
        <w:t>e that</w:t>
      </w:r>
      <w:r w:rsidRPr="0001211D">
        <w:t xml:space="preserve"> person</w:t>
      </w:r>
      <w:r>
        <w:t>s with</w:t>
      </w:r>
      <w:r w:rsidRPr="0001211D">
        <w:t xml:space="preserve"> disabilit</w:t>
      </w:r>
      <w:r>
        <w:t>ies</w:t>
      </w:r>
      <w:r w:rsidRPr="0001211D">
        <w:t xml:space="preserve"> may </w:t>
      </w:r>
      <w:r>
        <w:t>avail themselves o</w:t>
      </w:r>
      <w:r w:rsidRPr="0001211D">
        <w:t xml:space="preserve">f </w:t>
      </w:r>
      <w:r>
        <w:t xml:space="preserve">any </w:t>
      </w:r>
      <w:r w:rsidRPr="0001211D">
        <w:t xml:space="preserve">greater </w:t>
      </w:r>
      <w:r>
        <w:t xml:space="preserve">legal protections </w:t>
      </w:r>
      <w:r w:rsidRPr="0001211D">
        <w:t xml:space="preserve">provided </w:t>
      </w:r>
      <w:r>
        <w:t xml:space="preserve">to them </w:t>
      </w:r>
      <w:r w:rsidRPr="0001211D">
        <w:t xml:space="preserve">under </w:t>
      </w:r>
      <w:r>
        <w:t>other</w:t>
      </w:r>
      <w:r w:rsidRPr="0001211D">
        <w:t xml:space="preserve"> law</w:t>
      </w:r>
      <w:r>
        <w:t>s</w:t>
      </w:r>
      <w:r w:rsidRPr="0001211D">
        <w:t xml:space="preserve"> applicable in that jurisdiction</w:t>
      </w:r>
      <w:r>
        <w:t>, such as human rights law</w:t>
      </w:r>
      <w:r w:rsidRPr="0001211D">
        <w:t xml:space="preserve">.  </w:t>
      </w:r>
      <w:r>
        <w:t>T</w:t>
      </w:r>
      <w:r w:rsidRPr="0001211D">
        <w:t xml:space="preserve">he </w:t>
      </w:r>
      <w:r w:rsidRPr="00CF4284">
        <w:rPr>
          <w:i/>
        </w:rPr>
        <w:t>ADA</w:t>
      </w:r>
      <w:r>
        <w:t>,</w:t>
      </w:r>
      <w:r w:rsidRPr="0001211D">
        <w:t xml:space="preserve"> </w:t>
      </w:r>
      <w:r w:rsidRPr="00CF4284">
        <w:rPr>
          <w:i/>
        </w:rPr>
        <w:t>AODA</w:t>
      </w:r>
      <w:r>
        <w:t xml:space="preserve">, and </w:t>
      </w:r>
      <w:r w:rsidRPr="00CF4284">
        <w:rPr>
          <w:i/>
        </w:rPr>
        <w:t>AMA</w:t>
      </w:r>
      <w:r>
        <w:t xml:space="preserve"> </w:t>
      </w:r>
      <w:r w:rsidRPr="0001211D">
        <w:t xml:space="preserve">also have </w:t>
      </w:r>
      <w:r>
        <w:t xml:space="preserve">similar </w:t>
      </w:r>
      <w:r w:rsidRPr="0001211D">
        <w:t>provisions</w:t>
      </w:r>
      <w:r>
        <w:t>.</w:t>
      </w:r>
      <w:r w:rsidRPr="0001211D">
        <w:t xml:space="preserve"> A </w:t>
      </w:r>
      <w:r w:rsidR="00104D5C">
        <w:t>recommendation</w:t>
      </w:r>
      <w:r w:rsidRPr="0001211D">
        <w:t xml:space="preserve"> for regulating </w:t>
      </w:r>
      <w:r>
        <w:t xml:space="preserve">confusion amongst the public that can arise with this situation </w:t>
      </w:r>
      <w:r w:rsidRPr="0001211D">
        <w:t xml:space="preserve">is </w:t>
      </w:r>
      <w:r>
        <w:t>that the federal government</w:t>
      </w:r>
      <w:r w:rsidR="00746B92">
        <w:t xml:space="preserve"> should</w:t>
      </w:r>
      <w:r>
        <w:t xml:space="preserve"> make </w:t>
      </w:r>
      <w:r w:rsidRPr="0001211D">
        <w:t xml:space="preserve">funding </w:t>
      </w:r>
      <w:r>
        <w:t xml:space="preserve">available </w:t>
      </w:r>
      <w:r w:rsidR="00746B92">
        <w:t>for information cent</w:t>
      </w:r>
      <w:r w:rsidRPr="0001211D">
        <w:t>r</w:t>
      </w:r>
      <w:r w:rsidR="00746B92">
        <w:t>e</w:t>
      </w:r>
      <w:r w:rsidRPr="0001211D">
        <w:t xml:space="preserve">s that can provide the general public and </w:t>
      </w:r>
      <w:r>
        <w:t>those</w:t>
      </w:r>
      <w:r w:rsidRPr="0001211D">
        <w:t xml:space="preserve"> who will be subject to the regulations with information on how to comply. The adva</w:t>
      </w:r>
      <w:r w:rsidR="004A2FF4">
        <w:t>ntage of these information cent</w:t>
      </w:r>
      <w:r w:rsidRPr="0001211D">
        <w:t>r</w:t>
      </w:r>
      <w:r w:rsidR="004A2FF4">
        <w:t>e</w:t>
      </w:r>
      <w:r w:rsidRPr="0001211D">
        <w:t xml:space="preserve">s is that those affected by the standards </w:t>
      </w:r>
      <w:r>
        <w:t>will be able to</w:t>
      </w:r>
      <w:r w:rsidRPr="0001211D">
        <w:t xml:space="preserve"> ask questions and explore options for compliance without revealing themselves to the government regulator.</w:t>
      </w:r>
    </w:p>
    <w:p w:rsidR="00EB2728" w:rsidRDefault="00EB2728" w:rsidP="00EB2728">
      <w:pPr>
        <w:pStyle w:val="ListParagraph"/>
        <w:numPr>
          <w:ilvl w:val="0"/>
          <w:numId w:val="32"/>
        </w:numPr>
        <w:jc w:val="both"/>
      </w:pPr>
      <w:r>
        <w:t xml:space="preserve">The federal government should be hesitant to move away from a </w:t>
      </w:r>
      <w:r w:rsidR="00104D5C">
        <w:t>framework</w:t>
      </w:r>
      <w:r>
        <w:t xml:space="preserve"> in which standards are created </w:t>
      </w:r>
      <w:r w:rsidR="00104D5C">
        <w:t xml:space="preserve">as part of a proactive regulatory system. </w:t>
      </w:r>
      <w:r>
        <w:t>At the very least</w:t>
      </w:r>
      <w:r w:rsidR="00707FFD">
        <w:t>,</w:t>
      </w:r>
      <w:r>
        <w:t xml:space="preserve"> before </w:t>
      </w:r>
      <w:r w:rsidR="00707FFD">
        <w:t xml:space="preserve">joining a standard-setting regime </w:t>
      </w:r>
      <w:r>
        <w:t xml:space="preserve">with a reactive regulatory system, </w:t>
      </w:r>
      <w:r w:rsidR="00104D5C">
        <w:t xml:space="preserve">the federal government </w:t>
      </w:r>
      <w:r>
        <w:t>should seek more insight from the disability community.</w:t>
      </w:r>
      <w:r w:rsidR="00104D5C" w:rsidRPr="00104D5C">
        <w:rPr>
          <w:lang w:val="en-US"/>
        </w:rPr>
        <w:t xml:space="preserve"> </w:t>
      </w:r>
      <w:r w:rsidR="00104D5C" w:rsidRPr="001A65CE">
        <w:rPr>
          <w:lang w:val="en-US"/>
        </w:rPr>
        <w:t>If housed within a reactive regulatory system, accessibility standards may present a confusing regulatory landscape which may not be well received by the disability community or the government officials tasked with running it. The purpose of the social movement toward accessibility standards legislation was to establish a distinct proactive means of realizing equality for people with disabilities. Placing accessibility standards within a reactive regulatory system may give the perception of weakening the distinction that has been long fought in its creation.</w:t>
      </w:r>
    </w:p>
    <w:p w:rsidR="00EB2728" w:rsidRDefault="00EB2728" w:rsidP="00EB2728">
      <w:pPr>
        <w:pStyle w:val="ListParagraph"/>
        <w:numPr>
          <w:ilvl w:val="0"/>
          <w:numId w:val="32"/>
        </w:numPr>
        <w:jc w:val="both"/>
      </w:pPr>
      <w:r>
        <w:t>P</w:t>
      </w:r>
      <w:r w:rsidRPr="00CE0CD6">
        <w:t xml:space="preserve">lacing regulatory standards within antidiscrimination law </w:t>
      </w:r>
      <w:r>
        <w:t>may</w:t>
      </w:r>
      <w:r w:rsidRPr="00CE0CD6">
        <w:t xml:space="preserve"> </w:t>
      </w:r>
      <w:r w:rsidR="0043030A">
        <w:t xml:space="preserve">also </w:t>
      </w:r>
      <w:r w:rsidRPr="00CE0CD6">
        <w:t>restrict innovation in the development of future legal standards.</w:t>
      </w:r>
      <w:r>
        <w:t xml:space="preserve"> In particular, a legal</w:t>
      </w:r>
      <w:r w:rsidRPr="00CE0CD6">
        <w:t xml:space="preserve"> debate has arisen in the Australian context as to whether the standards can ever be understood to go beyond the scope of the current discrimination law that enables them.</w:t>
      </w:r>
      <w:r>
        <w:t xml:space="preserve"> </w:t>
      </w:r>
    </w:p>
    <w:p w:rsidR="00EB2728" w:rsidRPr="00782060" w:rsidRDefault="00EB2728" w:rsidP="00EB2728">
      <w:pPr>
        <w:pStyle w:val="ListParagraph"/>
        <w:numPr>
          <w:ilvl w:val="0"/>
          <w:numId w:val="32"/>
        </w:numPr>
        <w:jc w:val="both"/>
      </w:pPr>
      <w:r>
        <w:t>With respect to the enforcement of accessibility standards, as a first resort, there should be a robust</w:t>
      </w:r>
      <w:r>
        <w:rPr>
          <w:lang w:val="en-US"/>
        </w:rPr>
        <w:t xml:space="preserve"> system of encouraging voluntary compliance, with audits initiated by the Office of Disability Issues or a similarly placed government department which collaborates with the Canadian Human Rights Commission. The Canadian Human Rights Commission’s experience with auditing, especially in the areas of employment and pay equity would have value in the disability context, bringing an intersectional lens to concerns and promoting an inclusive equality approach.</w:t>
      </w:r>
    </w:p>
    <w:p w:rsidR="00EB2728" w:rsidRPr="002F0AE0" w:rsidRDefault="00EB2728" w:rsidP="00EB2728">
      <w:pPr>
        <w:pStyle w:val="ListParagraph"/>
        <w:numPr>
          <w:ilvl w:val="0"/>
          <w:numId w:val="32"/>
        </w:numPr>
        <w:jc w:val="both"/>
      </w:pPr>
      <w:r>
        <w:t>The systems of standard enforcement in Ontario and Manitoba rest significantly on government discretion.</w:t>
      </w:r>
      <w:r w:rsidRPr="00782060">
        <w:t xml:space="preserve"> </w:t>
      </w:r>
      <w:r>
        <w:t>It would be beneficial to have an additional mechanism incorporated to welcome and address</w:t>
      </w:r>
      <w:r>
        <w:rPr>
          <w:lang w:val="en-US"/>
        </w:rPr>
        <w:t xml:space="preserve"> public complaints.</w:t>
      </w:r>
      <w:r w:rsidRPr="00782060">
        <w:t xml:space="preserve"> </w:t>
      </w:r>
      <w:r w:rsidRPr="00782060">
        <w:rPr>
          <w:lang w:val="en-US"/>
        </w:rPr>
        <w:t xml:space="preserve">Complaints should do </w:t>
      </w:r>
      <w:r>
        <w:rPr>
          <w:lang w:val="en-US"/>
        </w:rPr>
        <w:t xml:space="preserve">at least </w:t>
      </w:r>
      <w:r w:rsidRPr="00782060">
        <w:rPr>
          <w:lang w:val="en-US"/>
        </w:rPr>
        <w:t>one of three things:</w:t>
      </w:r>
      <w:r>
        <w:rPr>
          <w:lang w:val="en-US"/>
        </w:rPr>
        <w:t xml:space="preserve"> a) trigger inspections; b)</w:t>
      </w:r>
      <w:r w:rsidRPr="00782060">
        <w:rPr>
          <w:lang w:val="en-US"/>
        </w:rPr>
        <w:t xml:space="preserve"> </w:t>
      </w:r>
      <w:r>
        <w:rPr>
          <w:lang w:val="en-US"/>
        </w:rPr>
        <w:t>lead to public enforcement for injunctive relief; or c) provide system navigation to the person with concerns.</w:t>
      </w:r>
    </w:p>
    <w:p w:rsidR="00EB2728" w:rsidRDefault="00EB2728" w:rsidP="00EB2728">
      <w:pPr>
        <w:pStyle w:val="ListParagraph"/>
        <w:numPr>
          <w:ilvl w:val="0"/>
          <w:numId w:val="32"/>
        </w:numPr>
        <w:jc w:val="both"/>
      </w:pPr>
      <w:r>
        <w:t xml:space="preserve">There should be strong support for members of the disability community who wish to bring forward complaints about breaches or violations of standards. A public enforcement process similar to the one in the US should be adopted. Prosecutors should be cross- appointees from the Canadian Human Rights Commission and the matters should be brought before the Canadian Human Rights Tribunal. Cases that are important to the disability community should be among those highly prioritized for support through public enforcement. The public enforcement mechanism should lead to injunctive relief to ensure that the standards are respected. Individual should still be able to bring complaints about personalized cases of discrimination through the regular channels of the regulatory reactive system under the </w:t>
      </w:r>
      <w:r w:rsidRPr="002F0AE0">
        <w:rPr>
          <w:i/>
        </w:rPr>
        <w:t>Canadian Human Rights Act</w:t>
      </w:r>
      <w:r>
        <w:t xml:space="preserve"> </w:t>
      </w:r>
      <w:r w:rsidRPr="000866B6">
        <w:t>or anoth</w:t>
      </w:r>
      <w:r>
        <w:t>er human rights related statute, in order to receive the available relief.</w:t>
      </w:r>
    </w:p>
    <w:p w:rsidR="00EB2728" w:rsidRPr="0093491F" w:rsidRDefault="00EB2728" w:rsidP="00EB2728">
      <w:pPr>
        <w:pStyle w:val="ListParagraph"/>
        <w:numPr>
          <w:ilvl w:val="0"/>
          <w:numId w:val="32"/>
        </w:numPr>
        <w:jc w:val="both"/>
      </w:pPr>
      <w:r>
        <w:rPr>
          <w:lang w:val="en-US"/>
        </w:rPr>
        <w:t xml:space="preserve">With respect to the enforcement of decisions (ie </w:t>
      </w:r>
      <w:r w:rsidR="00707FFD">
        <w:rPr>
          <w:lang w:val="en-US"/>
        </w:rPr>
        <w:t xml:space="preserve">the enforcement of </w:t>
      </w:r>
      <w:r>
        <w:rPr>
          <w:lang w:val="en-US"/>
        </w:rPr>
        <w:t xml:space="preserve">orders </w:t>
      </w:r>
      <w:r w:rsidR="00707FFD">
        <w:rPr>
          <w:lang w:val="en-US"/>
        </w:rPr>
        <w:t xml:space="preserve">already </w:t>
      </w:r>
      <w:r>
        <w:rPr>
          <w:lang w:val="en-US"/>
        </w:rPr>
        <w:t>imposed on noncompliant entities)</w:t>
      </w:r>
      <w:r>
        <w:t>, o</w:t>
      </w:r>
      <w:r w:rsidRPr="001C5072">
        <w:t xml:space="preserve">ne question that arises is how to ensure that those who have committed violations do not simply pay administrative penalties and fines without fixing the compliance issue. It is here that public enforcement </w:t>
      </w:r>
      <w:r>
        <w:t xml:space="preserve">(as discussed in the enforcement of accessibility standards) </w:t>
      </w:r>
      <w:r w:rsidRPr="001C5072">
        <w:t xml:space="preserve">and the publicity it draws </w:t>
      </w:r>
      <w:r w:rsidR="00707FFD">
        <w:t>can</w:t>
      </w:r>
      <w:r w:rsidRPr="001C5072">
        <w:t xml:space="preserve"> be valuable.</w:t>
      </w:r>
      <w:r>
        <w:t xml:space="preserve"> Beyond that, the approach taken in the provinces </w:t>
      </w:r>
      <w:r w:rsidR="00707FFD">
        <w:t xml:space="preserve">should be followed as it </w:t>
      </w:r>
      <w:r>
        <w:t>is more relevant than those of the foreign jurisdiction</w:t>
      </w:r>
      <w:r w:rsidR="00E13521">
        <w:t>s</w:t>
      </w:r>
      <w:r>
        <w:t xml:space="preserve"> studied</w:t>
      </w:r>
      <w:r w:rsidR="00707FFD" w:rsidRPr="00707FFD">
        <w:t xml:space="preserve"> </w:t>
      </w:r>
      <w:r w:rsidR="00707FFD">
        <w:t>and</w:t>
      </w:r>
      <w:r>
        <w:t xml:space="preserve"> shows </w:t>
      </w:r>
      <w:r w:rsidR="00707FFD">
        <w:t>potential for effectiveness</w:t>
      </w:r>
      <w:r>
        <w:t xml:space="preserve">. </w:t>
      </w:r>
    </w:p>
    <w:p w:rsidR="00EB2728" w:rsidRPr="00A13A25" w:rsidRDefault="00EB2728" w:rsidP="00EB2728">
      <w:pPr>
        <w:pStyle w:val="ListParagraph"/>
        <w:numPr>
          <w:ilvl w:val="0"/>
          <w:numId w:val="32"/>
        </w:numPr>
        <w:jc w:val="both"/>
      </w:pPr>
      <w:r w:rsidRPr="0093491F">
        <w:rPr>
          <w:lang w:val="en-US"/>
        </w:rPr>
        <w:t xml:space="preserve">There are several strong tools for encouraging compliance </w:t>
      </w:r>
      <w:r>
        <w:rPr>
          <w:lang w:val="en-US"/>
        </w:rPr>
        <w:t xml:space="preserve">that exist in other jurisdictions and which </w:t>
      </w:r>
      <w:r w:rsidRPr="0093491F">
        <w:rPr>
          <w:lang w:val="en-US"/>
        </w:rPr>
        <w:t xml:space="preserve">the federal government should consider. All </w:t>
      </w:r>
      <w:r>
        <w:rPr>
          <w:lang w:val="en-US"/>
        </w:rPr>
        <w:t xml:space="preserve">of </w:t>
      </w:r>
      <w:r w:rsidRPr="0093491F">
        <w:rPr>
          <w:lang w:val="en-US"/>
        </w:rPr>
        <w:t>the tools</w:t>
      </w:r>
      <w:r>
        <w:rPr>
          <w:lang w:val="en-US"/>
        </w:rPr>
        <w:t xml:space="preserve"> identified </w:t>
      </w:r>
      <w:r w:rsidRPr="0093491F">
        <w:rPr>
          <w:lang w:val="en-US"/>
        </w:rPr>
        <w:t>for encouraging compliance</w:t>
      </w:r>
      <w:r>
        <w:rPr>
          <w:lang w:val="en-US"/>
        </w:rPr>
        <w:t xml:space="preserve"> in this study</w:t>
      </w:r>
      <w:r w:rsidRPr="0093491F">
        <w:rPr>
          <w:lang w:val="en-US"/>
        </w:rPr>
        <w:t xml:space="preserve"> could be infused with information about human rights law, the fact that it is quasi-constitutional and primordial, its main concepts, and that it informs the accessibility legislation.</w:t>
      </w:r>
    </w:p>
    <w:p w:rsidR="00EB2728" w:rsidRPr="00A13A25" w:rsidRDefault="00EB2728" w:rsidP="00EB2728">
      <w:pPr>
        <w:pStyle w:val="ListParagraph"/>
        <w:numPr>
          <w:ilvl w:val="0"/>
          <w:numId w:val="32"/>
        </w:numPr>
        <w:jc w:val="both"/>
      </w:pPr>
      <w:r>
        <w:rPr>
          <w:lang w:val="en-US"/>
        </w:rPr>
        <w:t>T</w:t>
      </w:r>
      <w:r>
        <w:t>here are several ways in which public awareness is raised about accessibility and disability rights in various jurisdictions.</w:t>
      </w:r>
      <w:r w:rsidRPr="00D27D4C">
        <w:rPr>
          <w:lang w:val="en-US"/>
        </w:rPr>
        <w:t xml:space="preserve"> </w:t>
      </w:r>
      <w:r>
        <w:rPr>
          <w:lang w:val="en-US"/>
        </w:rPr>
        <w:t>In order to ensure that there is an office dedicated to raising public awareness of disab</w:t>
      </w:r>
      <w:r w:rsidR="00707FFD">
        <w:rPr>
          <w:lang w:val="en-US"/>
        </w:rPr>
        <w:t xml:space="preserve">ility issues and to promoting </w:t>
      </w:r>
      <w:r>
        <w:rPr>
          <w:lang w:val="en-US"/>
        </w:rPr>
        <w:t>culture change in favour of inclusion of difference, it would be helpful to have a dedicated Commissioner</w:t>
      </w:r>
      <w:r w:rsidRPr="00D27D4C">
        <w:rPr>
          <w:lang w:val="en-US"/>
        </w:rPr>
        <w:t xml:space="preserve"> </w:t>
      </w:r>
      <w:r>
        <w:rPr>
          <w:lang w:val="en-US"/>
        </w:rPr>
        <w:t>responsible for research, education and promoting awareness. In a manner similar to the approach taken in Australia, where the Disability Discrimination Commissioner works with other commissioners to promote awareness and conduct public education of systemic issues, the proposed Commissioner could work with the Canadian Human Rights Commission</w:t>
      </w:r>
      <w:r w:rsidR="00707FFD">
        <w:rPr>
          <w:lang w:val="en-US"/>
        </w:rPr>
        <w:t>(er)</w:t>
      </w:r>
      <w:r>
        <w:rPr>
          <w:lang w:val="en-US"/>
        </w:rPr>
        <w:t xml:space="preserve"> in order to promote intersectional perspectives on disability issues in the federal sphere.</w:t>
      </w:r>
    </w:p>
    <w:p w:rsidR="00EB2728" w:rsidRPr="000C505B" w:rsidRDefault="00EB2728" w:rsidP="00707FFD">
      <w:pPr>
        <w:pStyle w:val="ListParagraph"/>
        <w:numPr>
          <w:ilvl w:val="0"/>
          <w:numId w:val="32"/>
        </w:numPr>
        <w:jc w:val="both"/>
      </w:pPr>
      <w:r>
        <w:rPr>
          <w:lang w:val="en-US"/>
        </w:rPr>
        <w:t>It would also be effective to initiate a statutory requirement that every federal government department have an office dedicated to accessibility which would work with and consult the Commissioner to promote awareness and culture change across the federal sphere.</w:t>
      </w:r>
    </w:p>
    <w:p w:rsidR="00EB2728" w:rsidRDefault="00EB2728" w:rsidP="00707FFD">
      <w:pPr>
        <w:pStyle w:val="ListParagraph"/>
        <w:numPr>
          <w:ilvl w:val="0"/>
          <w:numId w:val="32"/>
        </w:numPr>
        <w:jc w:val="both"/>
        <w:rPr>
          <w:lang w:val="en-US"/>
        </w:rPr>
      </w:pPr>
      <w:r w:rsidRPr="00D27D4C">
        <w:rPr>
          <w:lang w:val="en-US"/>
        </w:rPr>
        <w:t xml:space="preserve">As with raising public awareness and promoting systemic culture change, the degree to which human rights laws, concepts, and values are infused into public education activities are at the discretion of the government officials responsible for those activities. This could be made more concrete in the statute by creating a Commissioner as discussed in the </w:t>
      </w:r>
      <w:r>
        <w:rPr>
          <w:lang w:val="en-US"/>
        </w:rPr>
        <w:t>section on public education</w:t>
      </w:r>
      <w:r w:rsidRPr="00D27D4C">
        <w:rPr>
          <w:lang w:val="en-US"/>
        </w:rPr>
        <w:t>.</w:t>
      </w:r>
    </w:p>
    <w:p w:rsidR="00EB2728" w:rsidRPr="00A13A25" w:rsidRDefault="00EB2728" w:rsidP="00EB2728">
      <w:pPr>
        <w:pStyle w:val="ListParagraph"/>
        <w:numPr>
          <w:ilvl w:val="0"/>
          <w:numId w:val="32"/>
        </w:numPr>
        <w:jc w:val="both"/>
        <w:rPr>
          <w:lang w:val="en-AU"/>
        </w:rPr>
      </w:pPr>
      <w:r>
        <w:rPr>
          <w:lang w:val="en-US"/>
        </w:rPr>
        <w:t>A</w:t>
      </w:r>
      <w:r w:rsidRPr="00D27D4C">
        <w:rPr>
          <w:lang w:val="en-US"/>
        </w:rPr>
        <w:t>ttention</w:t>
      </w:r>
      <w:r>
        <w:rPr>
          <w:lang w:val="en-US"/>
        </w:rPr>
        <w:t xml:space="preserve"> should also be paid in the statute </w:t>
      </w:r>
      <w:r w:rsidRPr="00D27D4C">
        <w:rPr>
          <w:lang w:val="en-US"/>
        </w:rPr>
        <w:t>to the expertise and values that the person appointed</w:t>
      </w:r>
      <w:r>
        <w:rPr>
          <w:lang w:val="en-US"/>
        </w:rPr>
        <w:t xml:space="preserve"> as Commissioner</w:t>
      </w:r>
      <w:r w:rsidRPr="00D27D4C">
        <w:rPr>
          <w:lang w:val="en-US"/>
        </w:rPr>
        <w:t xml:space="preserve"> </w:t>
      </w:r>
      <w:r>
        <w:rPr>
          <w:lang w:val="en-US"/>
        </w:rPr>
        <w:t>should</w:t>
      </w:r>
      <w:r w:rsidRPr="00D27D4C">
        <w:rPr>
          <w:lang w:val="en-US"/>
        </w:rPr>
        <w:t xml:space="preserve"> bring to the job</w:t>
      </w:r>
      <w:r w:rsidR="00104D5C">
        <w:rPr>
          <w:lang w:val="en-US"/>
        </w:rPr>
        <w:t>.</w:t>
      </w:r>
      <w:r w:rsidRPr="00A13A25">
        <w:rPr>
          <w:lang w:val="en-AU"/>
        </w:rPr>
        <w:t xml:space="preserve"> The proposed Commissioner should have experience in disability rights, advocacy, research, public education, community affairs and relevant law. They should also possess the ability to move an agenda forward that will bring the disability community, the public and public servants to work together with the Commissioner to advance disability, accessibility and inclusion issues. Language similar to the appointment provision under the </w:t>
      </w:r>
      <w:r w:rsidRPr="00A13A25">
        <w:rPr>
          <w:i/>
          <w:lang w:val="en-AU"/>
        </w:rPr>
        <w:t xml:space="preserve">Canadian Human Right Act </w:t>
      </w:r>
      <w:r w:rsidRPr="00A13A25">
        <w:rPr>
          <w:lang w:val="en-AU"/>
        </w:rPr>
        <w:t>for members of the Canadian Human Rights Tribunal could be fashioned to establish a Commissioner with appropriate qualifications under the proposed federal accessibility legislation.</w:t>
      </w:r>
    </w:p>
    <w:p w:rsidR="00EB2728" w:rsidRDefault="00EB2728" w:rsidP="00EB2728">
      <w:pPr>
        <w:pStyle w:val="ListParagraph"/>
        <w:numPr>
          <w:ilvl w:val="0"/>
          <w:numId w:val="32"/>
        </w:numPr>
        <w:jc w:val="both"/>
      </w:pPr>
      <w:r>
        <w:t>Working with familiar statutory terminology, using the language of accessibility and inclusion, safeguarding a place for federal provincial and territorial consultation and the possibility of using the Canadian Human Rights Commission to administer the proposed federal accessibility legislation are a</w:t>
      </w:r>
      <w:r w:rsidR="00C802DA">
        <w:t>dditional considerations that c</w:t>
      </w:r>
      <w:r>
        <w:t xml:space="preserve">ould be explored in developing the proposed federal accessibility legislation. </w:t>
      </w:r>
    </w:p>
    <w:p w:rsidR="00EB2728" w:rsidRDefault="00EB2728" w:rsidP="00EB2728"/>
    <w:p w:rsidR="00FA2231" w:rsidRPr="00C76226" w:rsidRDefault="00FA2231" w:rsidP="00FA2231">
      <w:pPr>
        <w:pStyle w:val="Heading1"/>
        <w:jc w:val="center"/>
      </w:pPr>
      <w:bookmarkStart w:id="21" w:name="_Toc505751507"/>
      <w:r w:rsidRPr="00C76226">
        <w:t>Bibliography</w:t>
      </w:r>
      <w:r>
        <w:t xml:space="preserve"> of Works Referenced</w:t>
      </w:r>
      <w:bookmarkEnd w:id="21"/>
    </w:p>
    <w:p w:rsidR="003E4E9C" w:rsidRDefault="003E4E9C" w:rsidP="00FA2231">
      <w:pPr>
        <w:jc w:val="center"/>
        <w:rPr>
          <w:rFonts w:ascii="Times New Roman" w:hAnsi="Times New Roman" w:cs="Times New Roman"/>
          <w:b/>
          <w:i/>
        </w:rPr>
      </w:pPr>
    </w:p>
    <w:p w:rsidR="003E4E9C" w:rsidRDefault="003E4E9C" w:rsidP="00FA2231">
      <w:pPr>
        <w:jc w:val="center"/>
        <w:rPr>
          <w:rFonts w:ascii="Times New Roman" w:hAnsi="Times New Roman" w:cs="Times New Roman"/>
          <w:b/>
          <w:i/>
        </w:rPr>
      </w:pPr>
    </w:p>
    <w:p w:rsidR="00FA2231" w:rsidRPr="00024F24" w:rsidRDefault="00FA2231" w:rsidP="00FA2231">
      <w:pPr>
        <w:jc w:val="center"/>
        <w:rPr>
          <w:rFonts w:ascii="Times New Roman" w:hAnsi="Times New Roman" w:cs="Times New Roman"/>
          <w:b/>
          <w:i/>
        </w:rPr>
      </w:pPr>
      <w:r w:rsidRPr="00024F24">
        <w:rPr>
          <w:rFonts w:ascii="Times New Roman" w:hAnsi="Times New Roman" w:cs="Times New Roman"/>
          <w:b/>
          <w:i/>
        </w:rPr>
        <w:t>Statutes and Regulations</w:t>
      </w:r>
    </w:p>
    <w:p w:rsidR="00FA2231" w:rsidRPr="00C76226" w:rsidRDefault="00FA2231" w:rsidP="00FA2231">
      <w:pPr>
        <w:rPr>
          <w:rFonts w:ascii="Times New Roman" w:hAnsi="Times New Roman" w:cs="Times New Roman"/>
        </w:rPr>
      </w:pPr>
    </w:p>
    <w:p w:rsidR="00FA2231" w:rsidRPr="00DD0445" w:rsidRDefault="00FA2231" w:rsidP="00FA2231">
      <w:pPr>
        <w:rPr>
          <w:rFonts w:ascii="Times New Roman" w:hAnsi="Times New Roman" w:cs="Times New Roman"/>
          <w:b/>
          <w:color w:val="000000" w:themeColor="text1"/>
          <w:u w:val="single"/>
        </w:rPr>
      </w:pPr>
      <w:r w:rsidRPr="00DD0445">
        <w:rPr>
          <w:rFonts w:ascii="Times New Roman" w:hAnsi="Times New Roman" w:cs="Times New Roman"/>
          <w:b/>
          <w:color w:val="000000" w:themeColor="text1"/>
          <w:u w:val="single"/>
        </w:rPr>
        <w:t xml:space="preserve">Australia </w:t>
      </w:r>
    </w:p>
    <w:p w:rsidR="00FA2231" w:rsidRPr="00C76226" w:rsidRDefault="00FA2231" w:rsidP="00FA2231">
      <w:pPr>
        <w:rPr>
          <w:rFonts w:ascii="Times New Roman" w:hAnsi="Times New Roman" w:cs="Times New Roman"/>
        </w:rPr>
      </w:pPr>
      <w:r w:rsidRPr="00C76226">
        <w:rPr>
          <w:rFonts w:ascii="Times New Roman" w:hAnsi="Times New Roman" w:cs="Times New Roman"/>
          <w:i/>
          <w:lang w:val="en-AU"/>
        </w:rPr>
        <w:t>Australian Human Rights Commission Act, 1986</w:t>
      </w:r>
      <w:r>
        <w:rPr>
          <w:rFonts w:ascii="Times New Roman" w:hAnsi="Times New Roman" w:cs="Times New Roman"/>
          <w:lang w:val="en-AU"/>
        </w:rPr>
        <w:t xml:space="preserve"> </w:t>
      </w:r>
      <w:r w:rsidRPr="0090634D">
        <w:rPr>
          <w:rFonts w:ascii="Times New Roman" w:hAnsi="Times New Roman" w:cs="Times New Roman"/>
          <w:lang w:val="en-AU"/>
        </w:rPr>
        <w:t>(Cth)</w:t>
      </w:r>
      <w:r>
        <w:rPr>
          <w:rFonts w:ascii="Times New Roman" w:hAnsi="Times New Roman" w:cs="Times New Roman"/>
          <w:lang w:val="en-AU"/>
        </w:rPr>
        <w:t xml:space="preserve">, online: </w:t>
      </w:r>
      <w:hyperlink r:id="rId10" w:history="1">
        <w:r w:rsidRPr="006E1C4C">
          <w:rPr>
            <w:rStyle w:val="Hyperlink"/>
            <w:rFonts w:ascii="Times New Roman" w:hAnsi="Times New Roman" w:cs="Times New Roman"/>
          </w:rPr>
          <w:t>https://www.legislation.gov.au/Details/C2017C00143</w:t>
        </w:r>
      </w:hyperlink>
      <w:r w:rsidRPr="00C76226">
        <w:rPr>
          <w:rFonts w:ascii="Times New Roman" w:hAnsi="Times New Roman" w:cs="Times New Roman"/>
          <w:i/>
          <w:lang w:val="en-AU"/>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i/>
        </w:rPr>
        <w:t>Disability Discrimination Act, 1992</w:t>
      </w:r>
      <w:r>
        <w:rPr>
          <w:rFonts w:ascii="Times New Roman" w:hAnsi="Times New Roman" w:cs="Times New Roman"/>
          <w:i/>
        </w:rPr>
        <w:t xml:space="preserve"> </w:t>
      </w:r>
      <w:r w:rsidRPr="0090634D">
        <w:rPr>
          <w:rFonts w:ascii="Times New Roman" w:hAnsi="Times New Roman" w:cs="Times New Roman"/>
        </w:rPr>
        <w:t>(Cth)</w:t>
      </w:r>
      <w:r>
        <w:rPr>
          <w:rFonts w:ascii="Times New Roman" w:hAnsi="Times New Roman" w:cs="Times New Roman"/>
        </w:rPr>
        <w:t xml:space="preserve">, online:  </w:t>
      </w:r>
      <w:hyperlink r:id="rId11" w:history="1">
        <w:r w:rsidRPr="003D6D02">
          <w:rPr>
            <w:rStyle w:val="Hyperlink"/>
            <w:rFonts w:ascii="Times New Roman" w:hAnsi="Times New Roman" w:cs="Times New Roman"/>
          </w:rPr>
          <w:t>https://www.legislation.gov.au/Details/C2017C00339</w:t>
        </w:r>
      </w:hyperlink>
      <w:r>
        <w:rPr>
          <w:rFonts w:ascii="Times New Roman" w:hAnsi="Times New Roman" w:cs="Times New Roman"/>
        </w:rPr>
        <w:t xml:space="preserve"> </w:t>
      </w:r>
      <w:r w:rsidRPr="00C76226">
        <w:rPr>
          <w:rFonts w:ascii="Times New Roman" w:hAnsi="Times New Roman" w:cs="Times New Roman"/>
          <w:i/>
        </w:rPr>
        <w:t>.</w:t>
      </w:r>
      <w:r w:rsidRPr="00C76226">
        <w:rPr>
          <w:rFonts w:ascii="Times New Roman" w:hAnsi="Times New Roman" w:cs="Times New Roman"/>
        </w:rPr>
        <w:t xml:space="preserve"> </w:t>
      </w:r>
    </w:p>
    <w:p w:rsidR="00FA2231" w:rsidRPr="000F4646" w:rsidRDefault="00FA2231" w:rsidP="00FA2231">
      <w:pPr>
        <w:rPr>
          <w:rFonts w:ascii="Times New Roman" w:hAnsi="Times New Roman" w:cs="Times New Roman"/>
        </w:rPr>
      </w:pPr>
      <w:r w:rsidRPr="009F5691">
        <w:rPr>
          <w:rFonts w:ascii="Times New Roman" w:hAnsi="Times New Roman" w:cs="Times New Roman"/>
          <w:bCs/>
          <w:i/>
        </w:rPr>
        <w:t>Disability (Access to Premises — Buildings) Standards 2010</w:t>
      </w:r>
      <w:r>
        <w:rPr>
          <w:rFonts w:ascii="Times New Roman" w:hAnsi="Times New Roman" w:cs="Times New Roman"/>
          <w:i/>
        </w:rPr>
        <w:t xml:space="preserve"> </w:t>
      </w:r>
      <w:r w:rsidRPr="0090634D">
        <w:rPr>
          <w:rFonts w:ascii="Times New Roman" w:hAnsi="Times New Roman" w:cs="Times New Roman"/>
        </w:rPr>
        <w:t>(Cth)</w:t>
      </w:r>
      <w:r>
        <w:rPr>
          <w:rFonts w:ascii="Times New Roman" w:hAnsi="Times New Roman" w:cs="Times New Roman"/>
        </w:rPr>
        <w:t xml:space="preserve">, </w:t>
      </w:r>
      <w:r w:rsidRPr="00C76226">
        <w:rPr>
          <w:rFonts w:ascii="Times New Roman" w:hAnsi="Times New Roman" w:cs="Times New Roman"/>
        </w:rPr>
        <w:t>online:</w:t>
      </w:r>
      <w:r w:rsidRPr="00A74801">
        <w:t xml:space="preserve"> </w:t>
      </w:r>
      <w:hyperlink r:id="rId12" w:history="1">
        <w:r w:rsidRPr="000F4646">
          <w:rPr>
            <w:rStyle w:val="Hyperlink"/>
            <w:rFonts w:ascii="Times New Roman" w:hAnsi="Times New Roman" w:cs="Times New Roman"/>
          </w:rPr>
          <w:t>https://www.legislation.gov.au/Details/F2011C00214</w:t>
        </w:r>
      </w:hyperlink>
      <w:r w:rsidRPr="000F4646">
        <w:rPr>
          <w:rFonts w:ascii="Times New Roman" w:hAnsi="Times New Roman" w:cs="Times New Roman"/>
        </w:rPr>
        <w:t xml:space="preserve"> .</w:t>
      </w:r>
    </w:p>
    <w:p w:rsidR="00FA2231" w:rsidRPr="001331CB" w:rsidRDefault="00FA2231" w:rsidP="00FA2231">
      <w:pPr>
        <w:rPr>
          <w:rFonts w:ascii="Times New Roman" w:hAnsi="Times New Roman" w:cs="Times New Roman"/>
        </w:rPr>
      </w:pPr>
      <w:r w:rsidRPr="00A3339C">
        <w:rPr>
          <w:rFonts w:ascii="Times New Roman" w:hAnsi="Times New Roman" w:cs="Times New Roman"/>
          <w:bCs/>
          <w:i/>
          <w:lang w:val="en-AU"/>
        </w:rPr>
        <w:t>Disability Standards for Accessible Public Transport 2002</w:t>
      </w:r>
      <w:r>
        <w:rPr>
          <w:rFonts w:ascii="Times New Roman" w:hAnsi="Times New Roman" w:cs="Times New Roman"/>
          <w:bCs/>
          <w:i/>
          <w:lang w:val="en-AU"/>
        </w:rPr>
        <w:t xml:space="preserve">, </w:t>
      </w:r>
      <w:r w:rsidRPr="00A3339C">
        <w:rPr>
          <w:rFonts w:ascii="Times New Roman" w:hAnsi="Times New Roman" w:cs="Times New Roman"/>
          <w:i/>
        </w:rPr>
        <w:t>as amended</w:t>
      </w:r>
      <w:r>
        <w:rPr>
          <w:rFonts w:ascii="Times New Roman" w:hAnsi="Times New Roman" w:cs="Times New Roman"/>
          <w:i/>
        </w:rPr>
        <w:t xml:space="preserve"> </w:t>
      </w:r>
      <w:r w:rsidRPr="0090634D">
        <w:rPr>
          <w:rFonts w:ascii="Times New Roman" w:hAnsi="Times New Roman" w:cs="Times New Roman"/>
        </w:rPr>
        <w:t>(Cth)</w:t>
      </w:r>
      <w:r>
        <w:rPr>
          <w:rFonts w:ascii="Times New Roman" w:hAnsi="Times New Roman" w:cs="Times New Roman"/>
        </w:rPr>
        <w:t xml:space="preserve">, online: </w:t>
      </w:r>
      <w:hyperlink r:id="rId13" w:history="1">
        <w:r w:rsidRPr="003D6D02">
          <w:rPr>
            <w:rStyle w:val="Hyperlink"/>
            <w:rFonts w:ascii="Times New Roman" w:hAnsi="Times New Roman" w:cs="Times New Roman"/>
          </w:rPr>
          <w:t>https://www.legislation.gov.au/Details/F2011C00213</w:t>
        </w:r>
      </w:hyperlink>
      <w:r>
        <w:rPr>
          <w:rFonts w:ascii="Times New Roman" w:hAnsi="Times New Roman" w:cs="Times New Roman"/>
        </w:rPr>
        <w:t>.</w:t>
      </w:r>
    </w:p>
    <w:p w:rsidR="00FA2231" w:rsidRPr="001331CB" w:rsidRDefault="00FA2231" w:rsidP="00FA2231">
      <w:pPr>
        <w:rPr>
          <w:rFonts w:ascii="Times New Roman" w:hAnsi="Times New Roman" w:cs="Times New Roman"/>
        </w:rPr>
      </w:pPr>
      <w:r w:rsidRPr="0033358D">
        <w:rPr>
          <w:rFonts w:ascii="Times New Roman" w:hAnsi="Times New Roman" w:cs="Times New Roman"/>
          <w:i/>
        </w:rPr>
        <w:t>Disability Standards for Education 2005</w:t>
      </w:r>
      <w:r>
        <w:rPr>
          <w:rFonts w:ascii="Times New Roman" w:hAnsi="Times New Roman" w:cs="Times New Roman"/>
          <w:i/>
        </w:rPr>
        <w:t xml:space="preserve"> </w:t>
      </w:r>
      <w:r w:rsidRPr="0090634D">
        <w:rPr>
          <w:rFonts w:ascii="Times New Roman" w:hAnsi="Times New Roman" w:cs="Times New Roman"/>
        </w:rPr>
        <w:t>(Cth)</w:t>
      </w:r>
      <w:r>
        <w:rPr>
          <w:rFonts w:ascii="Times New Roman" w:hAnsi="Times New Roman" w:cs="Times New Roman"/>
        </w:rPr>
        <w:t>, online:</w:t>
      </w:r>
      <w:r w:rsidRPr="000F4646">
        <w:t xml:space="preserve"> </w:t>
      </w:r>
      <w:hyperlink r:id="rId14" w:history="1">
        <w:r w:rsidRPr="003D6D02">
          <w:rPr>
            <w:rStyle w:val="Hyperlink"/>
            <w:rFonts w:ascii="Times New Roman" w:hAnsi="Times New Roman" w:cs="Times New Roman"/>
          </w:rPr>
          <w:t>https://www.legislation.gov.au/Details/F2005L00767</w:t>
        </w:r>
      </w:hyperlink>
      <w:r>
        <w:rPr>
          <w:rFonts w:ascii="Times New Roman" w:hAnsi="Times New Roman" w:cs="Times New Roman"/>
        </w:rPr>
        <w:t xml:space="preserve"> .</w:t>
      </w:r>
    </w:p>
    <w:p w:rsidR="00FA2231" w:rsidRDefault="00FA2231" w:rsidP="00FA2231">
      <w:pPr>
        <w:rPr>
          <w:rFonts w:ascii="Times New Roman" w:hAnsi="Times New Roman" w:cs="Times New Roman"/>
          <w:b/>
          <w:u w:val="single"/>
        </w:rPr>
      </w:pPr>
    </w:p>
    <w:p w:rsidR="00FA2231" w:rsidRPr="00DD0445" w:rsidRDefault="00FA2231" w:rsidP="00FA2231">
      <w:pPr>
        <w:rPr>
          <w:rFonts w:ascii="Times New Roman" w:hAnsi="Times New Roman" w:cs="Times New Roman"/>
          <w:b/>
          <w:u w:val="single"/>
        </w:rPr>
      </w:pPr>
      <w:r w:rsidRPr="00DD0445">
        <w:rPr>
          <w:rFonts w:ascii="Times New Roman" w:hAnsi="Times New Roman" w:cs="Times New Roman"/>
          <w:b/>
          <w:u w:val="single"/>
        </w:rPr>
        <w:t>Canada</w:t>
      </w:r>
    </w:p>
    <w:p w:rsidR="00FA2231" w:rsidRPr="00DD0445" w:rsidRDefault="00FA2231" w:rsidP="00FA2231">
      <w:pPr>
        <w:pStyle w:val="ListParagraph"/>
        <w:numPr>
          <w:ilvl w:val="0"/>
          <w:numId w:val="37"/>
        </w:numPr>
        <w:spacing w:after="0" w:line="240" w:lineRule="auto"/>
        <w:rPr>
          <w:rFonts w:ascii="Times New Roman" w:hAnsi="Times New Roman" w:cs="Times New Roman"/>
          <w:u w:val="single"/>
        </w:rPr>
      </w:pPr>
      <w:r w:rsidRPr="00DD0445">
        <w:rPr>
          <w:rFonts w:ascii="Times New Roman" w:hAnsi="Times New Roman" w:cs="Times New Roman"/>
          <w:u w:val="single"/>
        </w:rPr>
        <w:t>Federal</w:t>
      </w:r>
    </w:p>
    <w:p w:rsidR="00FA2231" w:rsidRPr="00C76226" w:rsidRDefault="00FA2231" w:rsidP="00FA2231">
      <w:pPr>
        <w:rPr>
          <w:rFonts w:ascii="Times New Roman" w:hAnsi="Times New Roman" w:cs="Times New Roman"/>
        </w:rPr>
      </w:pPr>
      <w:r w:rsidRPr="00C76226">
        <w:rPr>
          <w:rFonts w:ascii="Times New Roman" w:hAnsi="Times New Roman" w:cs="Times New Roman"/>
          <w:i/>
        </w:rPr>
        <w:t>Canadian Charter of Rights and Freedoms</w:t>
      </w:r>
      <w:r>
        <w:rPr>
          <w:rFonts w:ascii="Times New Roman" w:hAnsi="Times New Roman" w:cs="Times New Roman"/>
          <w:i/>
        </w:rPr>
        <w:t xml:space="preserve">, </w:t>
      </w:r>
      <w:r w:rsidRPr="00C76226">
        <w:rPr>
          <w:rFonts w:ascii="Times New Roman" w:hAnsi="Times New Roman" w:cs="Times New Roman"/>
        </w:rPr>
        <w:t>Part I of the</w:t>
      </w:r>
      <w:r w:rsidRPr="00C76226">
        <w:rPr>
          <w:rFonts w:ascii="Times New Roman" w:hAnsi="Times New Roman" w:cs="Times New Roman"/>
          <w:i/>
        </w:rPr>
        <w:t xml:space="preserve"> Constitution Act</w:t>
      </w:r>
      <w:r>
        <w:rPr>
          <w:rFonts w:ascii="Times New Roman" w:hAnsi="Times New Roman" w:cs="Times New Roman"/>
        </w:rPr>
        <w:t>, 1982</w:t>
      </w:r>
      <w:r w:rsidRPr="00C76226">
        <w:rPr>
          <w:rFonts w:ascii="Times New Roman" w:hAnsi="Times New Roman" w:cs="Times New Roman"/>
        </w:rPr>
        <w:t xml:space="preserve">, being Schedule B to the </w:t>
      </w:r>
      <w:r w:rsidRPr="003C03D1">
        <w:rPr>
          <w:rFonts w:ascii="Times New Roman" w:hAnsi="Times New Roman" w:cs="Times New Roman"/>
          <w:i/>
        </w:rPr>
        <w:t>Canada Act 1982</w:t>
      </w:r>
      <w:r>
        <w:rPr>
          <w:rFonts w:ascii="Times New Roman" w:hAnsi="Times New Roman" w:cs="Times New Roman"/>
        </w:rPr>
        <w:t xml:space="preserve"> (UK), 1982, c 11, online: </w:t>
      </w:r>
      <w:hyperlink r:id="rId15" w:history="1">
        <w:r w:rsidRPr="003D6D02">
          <w:rPr>
            <w:rStyle w:val="Hyperlink"/>
            <w:rFonts w:ascii="Times New Roman" w:hAnsi="Times New Roman" w:cs="Times New Roman"/>
          </w:rPr>
          <w:t>http://laws.justice.gc.ca/eng/Const/page-15.html</w:t>
        </w:r>
      </w:hyperlink>
      <w:r>
        <w:rPr>
          <w:rFonts w:ascii="Times New Roman" w:hAnsi="Times New Roman" w:cs="Times New Roman"/>
        </w:rPr>
        <w:t xml:space="preserve">  </w:t>
      </w:r>
      <w:r w:rsidRPr="00C76226">
        <w:rPr>
          <w:rFonts w:ascii="Times New Roman" w:hAnsi="Times New Roman" w:cs="Times New Roman"/>
        </w:rPr>
        <w:t xml:space="preserve">. </w:t>
      </w:r>
      <w:r w:rsidRPr="00C76226">
        <w:rPr>
          <w:rFonts w:ascii="Times New Roman" w:hAnsi="Times New Roman" w:cs="Times New Roman"/>
          <w:i/>
        </w:rPr>
        <w:t xml:space="preserve"> </w:t>
      </w:r>
    </w:p>
    <w:p w:rsidR="00FA2231" w:rsidRDefault="00FA2231" w:rsidP="00FA2231">
      <w:pPr>
        <w:rPr>
          <w:rFonts w:ascii="Times New Roman" w:hAnsi="Times New Roman" w:cs="Times New Roman"/>
        </w:rPr>
      </w:pPr>
      <w:r w:rsidRPr="001B060A">
        <w:rPr>
          <w:rFonts w:ascii="Times New Roman" w:hAnsi="Times New Roman" w:cs="Times New Roman"/>
          <w:i/>
          <w:lang w:val="en-AU"/>
        </w:rPr>
        <w:t>Canadian Human Rights Act</w:t>
      </w:r>
      <w:r>
        <w:rPr>
          <w:rFonts w:ascii="Times New Roman" w:hAnsi="Times New Roman" w:cs="Times New Roman"/>
          <w:i/>
          <w:lang w:val="en-AU"/>
        </w:rPr>
        <w:t xml:space="preserve"> </w:t>
      </w:r>
      <w:r w:rsidRPr="001B060A">
        <w:rPr>
          <w:rFonts w:ascii="Times New Roman" w:hAnsi="Times New Roman" w:cs="Times New Roman"/>
        </w:rPr>
        <w:t>RSC, 1985, c H-6</w:t>
      </w:r>
      <w:r>
        <w:rPr>
          <w:rFonts w:ascii="Times New Roman" w:hAnsi="Times New Roman" w:cs="Times New Roman"/>
        </w:rPr>
        <w:t xml:space="preserve">, online: </w:t>
      </w:r>
      <w:hyperlink r:id="rId16" w:history="1">
        <w:r w:rsidRPr="003D6D02">
          <w:rPr>
            <w:rStyle w:val="Hyperlink"/>
            <w:rFonts w:ascii="Times New Roman" w:hAnsi="Times New Roman" w:cs="Times New Roman"/>
          </w:rPr>
          <w:t>http://laws.justice.gc.ca/eng/acts/H-6/FullText.html</w:t>
        </w:r>
      </w:hyperlink>
      <w:r>
        <w:rPr>
          <w:rFonts w:ascii="Times New Roman" w:hAnsi="Times New Roman" w:cs="Times New Roman"/>
        </w:rPr>
        <w:t xml:space="preserve"> .</w:t>
      </w:r>
    </w:p>
    <w:p w:rsidR="00EF7C60" w:rsidRDefault="00EF7C60" w:rsidP="00FA2231">
      <w:pPr>
        <w:rPr>
          <w:rFonts w:ascii="Times New Roman" w:hAnsi="Times New Roman" w:cs="Times New Roman"/>
        </w:rPr>
      </w:pPr>
    </w:p>
    <w:p w:rsidR="00FA2231" w:rsidRPr="003C2785" w:rsidRDefault="00FA2231" w:rsidP="00FA2231">
      <w:pPr>
        <w:pStyle w:val="ListParagraph"/>
        <w:numPr>
          <w:ilvl w:val="0"/>
          <w:numId w:val="37"/>
        </w:numPr>
        <w:spacing w:after="0" w:line="240" w:lineRule="auto"/>
        <w:rPr>
          <w:rFonts w:ascii="Times New Roman" w:hAnsi="Times New Roman" w:cs="Times New Roman"/>
          <w:b/>
          <w:u w:val="single"/>
        </w:rPr>
      </w:pPr>
      <w:r w:rsidRPr="003C2785">
        <w:rPr>
          <w:rFonts w:ascii="Times New Roman" w:hAnsi="Times New Roman" w:cs="Times New Roman"/>
          <w:b/>
          <w:u w:val="single"/>
        </w:rPr>
        <w:t>Ontario</w:t>
      </w:r>
    </w:p>
    <w:p w:rsidR="00FA2231" w:rsidRPr="00C76226" w:rsidRDefault="00FA2231" w:rsidP="00FA2231">
      <w:pPr>
        <w:rPr>
          <w:rFonts w:ascii="Times New Roman" w:hAnsi="Times New Roman" w:cs="Times New Roman"/>
        </w:rPr>
      </w:pPr>
      <w:r w:rsidRPr="00C76226">
        <w:rPr>
          <w:rFonts w:ascii="Times New Roman" w:hAnsi="Times New Roman" w:cs="Times New Roman"/>
          <w:i/>
        </w:rPr>
        <w:t>Accessibility for Ontarians with Disabilities Act</w:t>
      </w:r>
      <w:r w:rsidRPr="00C76226">
        <w:rPr>
          <w:rFonts w:ascii="Times New Roman" w:hAnsi="Times New Roman" w:cs="Times New Roman"/>
        </w:rPr>
        <w:t xml:space="preserve">, </w:t>
      </w:r>
      <w:r w:rsidRPr="001331CB">
        <w:rPr>
          <w:rFonts w:ascii="Times New Roman" w:hAnsi="Times New Roman" w:cs="Times New Roman"/>
          <w:i/>
        </w:rPr>
        <w:t>2005</w:t>
      </w:r>
      <w:r w:rsidRPr="00C76226">
        <w:rPr>
          <w:rFonts w:ascii="Times New Roman" w:hAnsi="Times New Roman" w:cs="Times New Roman"/>
        </w:rPr>
        <w:t>, SO 2005 c 11</w:t>
      </w:r>
      <w:r>
        <w:rPr>
          <w:rFonts w:ascii="Times New Roman" w:hAnsi="Times New Roman" w:cs="Times New Roman"/>
        </w:rPr>
        <w:t xml:space="preserve">, online:  </w:t>
      </w:r>
      <w:r w:rsidRPr="009B4E8F">
        <w:rPr>
          <w:rFonts w:ascii="Times New Roman" w:hAnsi="Times New Roman" w:cs="Times New Roman"/>
        </w:rPr>
        <w:t xml:space="preserve"> </w:t>
      </w:r>
      <w:hyperlink r:id="rId17" w:history="1">
        <w:r w:rsidRPr="003D6D02">
          <w:rPr>
            <w:rStyle w:val="Hyperlink"/>
            <w:rFonts w:ascii="Times New Roman" w:hAnsi="Times New Roman" w:cs="Times New Roman"/>
          </w:rPr>
          <w:t>https://www.ontario.ca/laws/statute/05a11</w:t>
        </w:r>
      </w:hyperlink>
      <w:r>
        <w:rPr>
          <w:rFonts w:ascii="Times New Roman" w:hAnsi="Times New Roman" w:cs="Times New Roman"/>
        </w:rPr>
        <w:t xml:space="preserve"> </w:t>
      </w:r>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Pr>
          <w:rFonts w:ascii="Times New Roman" w:hAnsi="Times New Roman" w:cs="Times New Roman"/>
          <w:i/>
        </w:rPr>
        <w:t xml:space="preserve">(AODA) </w:t>
      </w:r>
      <w:r w:rsidRPr="00C76226">
        <w:rPr>
          <w:rFonts w:ascii="Times New Roman" w:hAnsi="Times New Roman" w:cs="Times New Roman"/>
          <w:i/>
        </w:rPr>
        <w:t>Integrated Accessibility Standards</w:t>
      </w:r>
      <w:r w:rsidRPr="00C76226">
        <w:rPr>
          <w:rFonts w:ascii="Times New Roman" w:hAnsi="Times New Roman" w:cs="Times New Roman"/>
        </w:rPr>
        <w:t xml:space="preserve"> - O Reg. 191/11, online: </w:t>
      </w:r>
      <w:hyperlink r:id="rId18" w:history="1">
        <w:r w:rsidRPr="00C76226">
          <w:rPr>
            <w:rStyle w:val="Hyperlink"/>
            <w:rFonts w:ascii="Times New Roman" w:hAnsi="Times New Roman" w:cs="Times New Roman"/>
          </w:rPr>
          <w:t>https://www.ontario.ca/laws/regulation/110191</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i/>
        </w:rPr>
        <w:t>Human Rights Code</w:t>
      </w:r>
      <w:r w:rsidRPr="00C76226">
        <w:rPr>
          <w:rFonts w:ascii="Times New Roman" w:hAnsi="Times New Roman" w:cs="Times New Roman"/>
        </w:rPr>
        <w:t>, RSO 1990, c H 19</w:t>
      </w:r>
      <w:r>
        <w:rPr>
          <w:rFonts w:ascii="Times New Roman" w:hAnsi="Times New Roman" w:cs="Times New Roman"/>
        </w:rPr>
        <w:t xml:space="preserve">, online: </w:t>
      </w:r>
      <w:hyperlink r:id="rId19" w:history="1">
        <w:r w:rsidRPr="003D6D02">
          <w:rPr>
            <w:rStyle w:val="Hyperlink"/>
            <w:rFonts w:ascii="Times New Roman" w:hAnsi="Times New Roman" w:cs="Times New Roman"/>
          </w:rPr>
          <w:t>https://www.ontario.ca/laws/statute/90h19</w:t>
        </w:r>
      </w:hyperlink>
      <w:r>
        <w:rPr>
          <w:rFonts w:ascii="Times New Roman" w:hAnsi="Times New Roman" w:cs="Times New Roman"/>
        </w:rPr>
        <w:t xml:space="preserve">  </w:t>
      </w:r>
      <w:r w:rsidRPr="00C76226">
        <w:rPr>
          <w:rFonts w:ascii="Times New Roman" w:hAnsi="Times New Roman" w:cs="Times New Roman"/>
        </w:rPr>
        <w:t xml:space="preserve">. </w:t>
      </w:r>
    </w:p>
    <w:p w:rsidR="00FA2231" w:rsidRPr="007960B0" w:rsidRDefault="00FA2231" w:rsidP="00FA2231">
      <w:pPr>
        <w:rPr>
          <w:rFonts w:ascii="Times New Roman" w:hAnsi="Times New Roman" w:cs="Times New Roman"/>
        </w:rPr>
      </w:pPr>
      <w:r w:rsidRPr="007960B0">
        <w:rPr>
          <w:rFonts w:ascii="Times New Roman" w:hAnsi="Times New Roman" w:cs="Times New Roman"/>
          <w:i/>
          <w:iCs/>
          <w:lang w:val="en"/>
        </w:rPr>
        <w:t>Ontarians with Disabilities Act, 2001</w:t>
      </w:r>
      <w:r w:rsidRPr="007960B0">
        <w:rPr>
          <w:rFonts w:ascii="Times New Roman" w:hAnsi="Times New Roman" w:cs="Times New Roman"/>
          <w:lang w:val="en"/>
        </w:rPr>
        <w:t>, SO 2001, c 32</w:t>
      </w:r>
      <w:r w:rsidRPr="00B45900">
        <w:t xml:space="preserve"> </w:t>
      </w:r>
      <w:r w:rsidRPr="00B45900">
        <w:rPr>
          <w:rFonts w:ascii="Times New Roman" w:hAnsi="Times New Roman" w:cs="Times New Roman"/>
          <w:lang w:val="en"/>
        </w:rPr>
        <w:t xml:space="preserve">online: </w:t>
      </w:r>
      <w:hyperlink r:id="rId20" w:history="1">
        <w:r w:rsidRPr="003D6D02">
          <w:rPr>
            <w:rStyle w:val="Hyperlink"/>
            <w:rFonts w:ascii="Times New Roman" w:hAnsi="Times New Roman" w:cs="Times New Roman"/>
            <w:lang w:val="en"/>
          </w:rPr>
          <w:t>https://www.ontario.ca/laws/statute/01o32</w:t>
        </w:r>
      </w:hyperlink>
      <w:r>
        <w:rPr>
          <w:rFonts w:ascii="Times New Roman" w:hAnsi="Times New Roman" w:cs="Times New Roman"/>
          <w:lang w:val="en"/>
        </w:rPr>
        <w:t xml:space="preserve"> </w:t>
      </w:r>
      <w:r w:rsidRPr="007960B0">
        <w:rPr>
          <w:rFonts w:ascii="Times New Roman" w:hAnsi="Times New Roman" w:cs="Times New Roman"/>
          <w:lang w:val="en"/>
        </w:rPr>
        <w:t>.</w:t>
      </w:r>
    </w:p>
    <w:p w:rsidR="00FA2231" w:rsidRDefault="00FA2231" w:rsidP="00FA2231">
      <w:pPr>
        <w:rPr>
          <w:rFonts w:ascii="Times New Roman" w:hAnsi="Times New Roman" w:cs="Times New Roman"/>
          <w:u w:val="single"/>
        </w:rPr>
      </w:pPr>
    </w:p>
    <w:p w:rsidR="00EF7C60" w:rsidRDefault="00EF7C60" w:rsidP="00FA2231">
      <w:pPr>
        <w:rPr>
          <w:rFonts w:ascii="Times New Roman" w:hAnsi="Times New Roman" w:cs="Times New Roman"/>
          <w:u w:val="single"/>
        </w:rPr>
      </w:pPr>
    </w:p>
    <w:p w:rsidR="00EF7C60" w:rsidRDefault="00EF7C60" w:rsidP="00FA2231">
      <w:pPr>
        <w:rPr>
          <w:rFonts w:ascii="Times New Roman" w:hAnsi="Times New Roman" w:cs="Times New Roman"/>
          <w:u w:val="single"/>
        </w:rPr>
      </w:pPr>
    </w:p>
    <w:p w:rsidR="00FA2231" w:rsidRPr="003C2785" w:rsidRDefault="00FA2231" w:rsidP="00FA2231">
      <w:pPr>
        <w:pStyle w:val="ListParagraph"/>
        <w:numPr>
          <w:ilvl w:val="0"/>
          <w:numId w:val="37"/>
        </w:numPr>
        <w:spacing w:after="0" w:line="240" w:lineRule="auto"/>
        <w:rPr>
          <w:rFonts w:ascii="Times New Roman" w:hAnsi="Times New Roman" w:cs="Times New Roman"/>
          <w:b/>
          <w:u w:val="single"/>
        </w:rPr>
      </w:pPr>
      <w:r w:rsidRPr="003C2785">
        <w:rPr>
          <w:rFonts w:ascii="Times New Roman" w:hAnsi="Times New Roman" w:cs="Times New Roman"/>
          <w:b/>
          <w:u w:val="single"/>
        </w:rPr>
        <w:t xml:space="preserve">Manitoba </w:t>
      </w:r>
    </w:p>
    <w:p w:rsidR="00FA2231" w:rsidRPr="00C76226" w:rsidRDefault="00FA2231" w:rsidP="00FA2231">
      <w:pPr>
        <w:rPr>
          <w:rFonts w:ascii="Times New Roman" w:hAnsi="Times New Roman" w:cs="Times New Roman"/>
        </w:rPr>
      </w:pPr>
      <w:r w:rsidRPr="00C76226">
        <w:rPr>
          <w:rFonts w:ascii="Times New Roman" w:hAnsi="Times New Roman" w:cs="Times New Roman"/>
          <w:i/>
        </w:rPr>
        <w:t>Accessibility for Manitobans Act</w:t>
      </w:r>
      <w:r w:rsidRPr="00C76226">
        <w:rPr>
          <w:rFonts w:ascii="Times New Roman" w:hAnsi="Times New Roman" w:cs="Times New Roman"/>
        </w:rPr>
        <w:t xml:space="preserve">, </w:t>
      </w:r>
      <w:r>
        <w:rPr>
          <w:rFonts w:ascii="Times New Roman" w:hAnsi="Times New Roman" w:cs="Times New Roman"/>
        </w:rPr>
        <w:t>CCSM c A1.7</w:t>
      </w:r>
      <w:r w:rsidRPr="00AE3558">
        <w:rPr>
          <w:rFonts w:ascii="Times New Roman" w:hAnsi="Times New Roman" w:cs="Times New Roman"/>
        </w:rPr>
        <w:t xml:space="preserve"> </w:t>
      </w:r>
      <w:r>
        <w:rPr>
          <w:rFonts w:ascii="Times New Roman" w:hAnsi="Times New Roman" w:cs="Times New Roman"/>
        </w:rPr>
        <w:t xml:space="preserve">, online: </w:t>
      </w:r>
      <w:hyperlink r:id="rId21" w:history="1">
        <w:r w:rsidRPr="003D6D02">
          <w:rPr>
            <w:rStyle w:val="Hyperlink"/>
            <w:rFonts w:ascii="Times New Roman" w:hAnsi="Times New Roman" w:cs="Times New Roman"/>
          </w:rPr>
          <w:t>https://www.canlii.org/en/mb/laws/stat/ccsm-c-a1.7/latest/ccsm-c-a1.7.html</w:t>
        </w:r>
      </w:hyperlink>
      <w:r>
        <w:rPr>
          <w:rFonts w:ascii="Times New Roman" w:hAnsi="Times New Roman" w:cs="Times New Roman"/>
        </w:rPr>
        <w:t xml:space="preserve"> </w:t>
      </w:r>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i/>
        </w:rPr>
        <w:t>Customer Service Standard Regulation</w:t>
      </w:r>
      <w:r w:rsidRPr="00C76226">
        <w:rPr>
          <w:rFonts w:ascii="Times New Roman" w:hAnsi="Times New Roman" w:cs="Times New Roman"/>
        </w:rPr>
        <w:t>, Regulation 171/2015</w:t>
      </w:r>
      <w:r>
        <w:rPr>
          <w:rFonts w:ascii="Times New Roman" w:hAnsi="Times New Roman" w:cs="Times New Roman"/>
        </w:rPr>
        <w:t xml:space="preserve">, </w:t>
      </w:r>
      <w:hyperlink r:id="rId22" w:history="1">
        <w:r w:rsidRPr="003D6D02">
          <w:rPr>
            <w:rStyle w:val="Hyperlink"/>
            <w:rFonts w:ascii="Times New Roman" w:hAnsi="Times New Roman" w:cs="Times New Roman"/>
          </w:rPr>
          <w:t>https://www.canlii.org/en/mb/laws/regu/man-reg-171-2015/latest/man-reg-171-2015.html</w:t>
        </w:r>
      </w:hyperlink>
      <w:r>
        <w:rPr>
          <w:rFonts w:ascii="Times New Roman" w:hAnsi="Times New Roman" w:cs="Times New Roman"/>
        </w:rPr>
        <w:t xml:space="preserve"> </w:t>
      </w:r>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p>
    <w:p w:rsidR="00FA2231" w:rsidRDefault="00FA2231" w:rsidP="00FA2231">
      <w:pPr>
        <w:rPr>
          <w:rFonts w:ascii="Times New Roman" w:hAnsi="Times New Roman" w:cs="Times New Roman"/>
          <w:u w:val="single"/>
        </w:rPr>
      </w:pPr>
    </w:p>
    <w:p w:rsidR="00FA2231" w:rsidRPr="003C2785" w:rsidRDefault="00FA2231" w:rsidP="00FA2231">
      <w:pPr>
        <w:pStyle w:val="ListParagraph"/>
        <w:numPr>
          <w:ilvl w:val="0"/>
          <w:numId w:val="37"/>
        </w:numPr>
        <w:spacing w:after="0" w:line="240" w:lineRule="auto"/>
        <w:rPr>
          <w:rFonts w:ascii="Times New Roman" w:hAnsi="Times New Roman" w:cs="Times New Roman"/>
          <w:b/>
          <w:u w:val="single"/>
        </w:rPr>
      </w:pPr>
      <w:r w:rsidRPr="003C2785">
        <w:rPr>
          <w:rFonts w:ascii="Times New Roman" w:hAnsi="Times New Roman" w:cs="Times New Roman"/>
          <w:b/>
          <w:u w:val="single"/>
        </w:rPr>
        <w:t xml:space="preserve">Nova Scotia </w:t>
      </w:r>
    </w:p>
    <w:p w:rsidR="00FA2231" w:rsidRPr="00C76226" w:rsidRDefault="00FA2231" w:rsidP="00FA2231">
      <w:pPr>
        <w:rPr>
          <w:rFonts w:ascii="Times New Roman" w:hAnsi="Times New Roman" w:cs="Times New Roman"/>
        </w:rPr>
      </w:pPr>
      <w:r w:rsidRPr="00C76226">
        <w:rPr>
          <w:rFonts w:ascii="Times New Roman" w:hAnsi="Times New Roman" w:cs="Times New Roman"/>
          <w:i/>
        </w:rPr>
        <w:t>Accessibility Act</w:t>
      </w:r>
      <w:r w:rsidRPr="00C76226">
        <w:rPr>
          <w:rFonts w:ascii="Times New Roman" w:hAnsi="Times New Roman" w:cs="Times New Roman"/>
        </w:rPr>
        <w:t>, SNS 2017 c 2</w:t>
      </w:r>
      <w:r>
        <w:rPr>
          <w:rFonts w:ascii="Times New Roman" w:hAnsi="Times New Roman" w:cs="Times New Roman"/>
        </w:rPr>
        <w:t xml:space="preserve">, online:  </w:t>
      </w:r>
      <w:hyperlink r:id="rId23" w:history="1">
        <w:r w:rsidRPr="003D6D02">
          <w:rPr>
            <w:rStyle w:val="Hyperlink"/>
            <w:rFonts w:ascii="Times New Roman" w:hAnsi="Times New Roman" w:cs="Times New Roman"/>
          </w:rPr>
          <w:t>https://www.nslegislature.ca/legc/bills/62nd_3rd/3rd_read/b059.htm</w:t>
        </w:r>
      </w:hyperlink>
      <w:r>
        <w:rPr>
          <w:rFonts w:ascii="Times New Roman" w:hAnsi="Times New Roman" w:cs="Times New Roman"/>
        </w:rPr>
        <w:t xml:space="preserve"> </w:t>
      </w:r>
      <w:r w:rsidRPr="00C76226">
        <w:rPr>
          <w:rFonts w:ascii="Times New Roman" w:hAnsi="Times New Roman" w:cs="Times New Roman"/>
        </w:rPr>
        <w:t>.</w:t>
      </w:r>
    </w:p>
    <w:p w:rsidR="00FA2231" w:rsidRPr="00C76226" w:rsidRDefault="00FA2231" w:rsidP="00FA2231">
      <w:pPr>
        <w:rPr>
          <w:rFonts w:ascii="Times New Roman" w:hAnsi="Times New Roman" w:cs="Times New Roman"/>
          <w:b/>
        </w:rPr>
      </w:pPr>
      <w:r w:rsidRPr="00C76226">
        <w:rPr>
          <w:rFonts w:ascii="Times New Roman" w:hAnsi="Times New Roman" w:cs="Times New Roman"/>
          <w:i/>
        </w:rPr>
        <w:t>Human Rights Act</w:t>
      </w:r>
      <w:r>
        <w:rPr>
          <w:rFonts w:ascii="Times New Roman" w:hAnsi="Times New Roman" w:cs="Times New Roman"/>
        </w:rPr>
        <w:t>,</w:t>
      </w:r>
      <w:r w:rsidRPr="00C76226">
        <w:rPr>
          <w:rFonts w:ascii="Times New Roman" w:hAnsi="Times New Roman" w:cs="Times New Roman"/>
          <w:i/>
        </w:rPr>
        <w:t xml:space="preserve"> </w:t>
      </w:r>
      <w:r w:rsidRPr="00C76226">
        <w:rPr>
          <w:rFonts w:ascii="Times New Roman" w:hAnsi="Times New Roman" w:cs="Times New Roman"/>
        </w:rPr>
        <w:t>RSNS 1989, c 214</w:t>
      </w:r>
      <w:r>
        <w:rPr>
          <w:rFonts w:ascii="Times New Roman" w:hAnsi="Times New Roman" w:cs="Times New Roman"/>
        </w:rPr>
        <w:t xml:space="preserve">, online:  </w:t>
      </w:r>
      <w:hyperlink r:id="rId24" w:history="1">
        <w:r w:rsidRPr="003D6D02">
          <w:rPr>
            <w:rStyle w:val="Hyperlink"/>
            <w:rFonts w:ascii="Times New Roman" w:hAnsi="Times New Roman" w:cs="Times New Roman"/>
          </w:rPr>
          <w:t>https://www.canlii.org/en/ns/laws/stat/rsns-1989-c-214/latest/rsns-1989-c-214.html</w:t>
        </w:r>
      </w:hyperlink>
      <w:r>
        <w:rPr>
          <w:rFonts w:ascii="Times New Roman" w:hAnsi="Times New Roman" w:cs="Times New Roman"/>
        </w:rPr>
        <w:t xml:space="preserve"> </w:t>
      </w:r>
      <w:r w:rsidRPr="00C76226">
        <w:rPr>
          <w:rFonts w:ascii="Times New Roman" w:hAnsi="Times New Roman" w:cs="Times New Roman"/>
        </w:rPr>
        <w:t>.</w:t>
      </w:r>
    </w:p>
    <w:p w:rsidR="00FA2231" w:rsidRPr="00DD0445" w:rsidRDefault="00FA2231" w:rsidP="00FA2231">
      <w:pPr>
        <w:rPr>
          <w:rFonts w:ascii="Times New Roman" w:hAnsi="Times New Roman" w:cs="Times New Roman"/>
          <w:b/>
        </w:rPr>
      </w:pPr>
    </w:p>
    <w:p w:rsidR="00FA2231" w:rsidRPr="008D1F7F" w:rsidRDefault="00FA2231" w:rsidP="00441534">
      <w:pPr>
        <w:spacing w:after="0"/>
        <w:rPr>
          <w:rFonts w:ascii="Times New Roman" w:hAnsi="Times New Roman" w:cs="Times New Roman"/>
          <w:b/>
          <w:u w:val="single"/>
        </w:rPr>
      </w:pPr>
      <w:r w:rsidRPr="008D1F7F">
        <w:rPr>
          <w:rFonts w:ascii="Times New Roman" w:hAnsi="Times New Roman" w:cs="Times New Roman"/>
          <w:b/>
          <w:u w:val="single"/>
        </w:rPr>
        <w:t xml:space="preserve">United Kingdom </w:t>
      </w:r>
    </w:p>
    <w:p w:rsidR="00FA2231" w:rsidRPr="00C76226" w:rsidRDefault="00FA2231" w:rsidP="00FA2231">
      <w:pPr>
        <w:rPr>
          <w:rFonts w:ascii="Times New Roman" w:hAnsi="Times New Roman" w:cs="Times New Roman"/>
        </w:rPr>
      </w:pPr>
      <w:r w:rsidRPr="00C76226">
        <w:rPr>
          <w:rFonts w:ascii="Times New Roman" w:hAnsi="Times New Roman" w:cs="Times New Roman"/>
          <w:i/>
        </w:rPr>
        <w:t>Disability Discrimination Act, 1995</w:t>
      </w:r>
      <w:r>
        <w:rPr>
          <w:rFonts w:ascii="Times New Roman" w:hAnsi="Times New Roman" w:cs="Times New Roman"/>
        </w:rPr>
        <w:t xml:space="preserve">, online: </w:t>
      </w:r>
      <w:hyperlink r:id="rId25" w:history="1">
        <w:r w:rsidRPr="003D6D02">
          <w:rPr>
            <w:rStyle w:val="Hyperlink"/>
            <w:rFonts w:ascii="Times New Roman" w:hAnsi="Times New Roman" w:cs="Times New Roman"/>
          </w:rPr>
          <w:t>https://www.legislation.gov.uk/ukpga/1995/50/contents</w:t>
        </w:r>
      </w:hyperlink>
      <w:r>
        <w:rPr>
          <w:rFonts w:ascii="Times New Roman" w:hAnsi="Times New Roman" w:cs="Times New Roman"/>
        </w:rPr>
        <w:t xml:space="preserve"> </w:t>
      </w:r>
      <w:r w:rsidRPr="00C76226">
        <w:rPr>
          <w:rFonts w:ascii="Times New Roman" w:hAnsi="Times New Roman" w:cs="Times New Roman"/>
          <w:i/>
        </w:rPr>
        <w:t>.</w:t>
      </w:r>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i/>
        </w:rPr>
        <w:t>Di</w:t>
      </w:r>
      <w:r>
        <w:rPr>
          <w:rFonts w:ascii="Times New Roman" w:hAnsi="Times New Roman" w:cs="Times New Roman"/>
          <w:i/>
        </w:rPr>
        <w:t>sability Discrimination Act, 200</w:t>
      </w:r>
      <w:r w:rsidRPr="00C76226">
        <w:rPr>
          <w:rFonts w:ascii="Times New Roman" w:hAnsi="Times New Roman" w:cs="Times New Roman"/>
          <w:i/>
        </w:rPr>
        <w:t>5</w:t>
      </w:r>
      <w:r>
        <w:rPr>
          <w:rFonts w:ascii="Times New Roman" w:hAnsi="Times New Roman" w:cs="Times New Roman"/>
        </w:rPr>
        <w:t>, online:</w:t>
      </w:r>
      <w:r w:rsidRPr="006B5642">
        <w:t xml:space="preserve"> </w:t>
      </w:r>
      <w:hyperlink r:id="rId26" w:history="1">
        <w:r w:rsidRPr="003D6D02">
          <w:rPr>
            <w:rStyle w:val="Hyperlink"/>
            <w:rFonts w:ascii="Times New Roman" w:hAnsi="Times New Roman" w:cs="Times New Roman"/>
          </w:rPr>
          <w:t>https://www.legislation.gov.uk/ukpga/2005/13/contents</w:t>
        </w:r>
      </w:hyperlink>
      <w:r>
        <w:rPr>
          <w:rFonts w:ascii="Times New Roman" w:hAnsi="Times New Roman" w:cs="Times New Roman"/>
        </w:rPr>
        <w:t xml:space="preserve"> </w:t>
      </w:r>
      <w:r w:rsidRPr="00C76226">
        <w:rPr>
          <w:rFonts w:ascii="Times New Roman" w:hAnsi="Times New Roman" w:cs="Times New Roman"/>
          <w:i/>
        </w:rPr>
        <w:t>.</w:t>
      </w:r>
      <w:r w:rsidRPr="00C76226">
        <w:rPr>
          <w:rFonts w:ascii="Times New Roman" w:hAnsi="Times New Roman" w:cs="Times New Roman"/>
        </w:rPr>
        <w:t xml:space="preserve"> </w:t>
      </w:r>
    </w:p>
    <w:p w:rsidR="00FA2231" w:rsidRDefault="00FA2231" w:rsidP="00FA2231">
      <w:pPr>
        <w:rPr>
          <w:rFonts w:ascii="Times New Roman" w:hAnsi="Times New Roman" w:cs="Times New Roman"/>
        </w:rPr>
      </w:pPr>
      <w:r w:rsidRPr="00C76226">
        <w:rPr>
          <w:rFonts w:ascii="Times New Roman" w:hAnsi="Times New Roman" w:cs="Times New Roman"/>
          <w:i/>
        </w:rPr>
        <w:t>Equality Act 2006</w:t>
      </w:r>
      <w:r>
        <w:rPr>
          <w:rFonts w:ascii="Times New Roman" w:hAnsi="Times New Roman" w:cs="Times New Roman"/>
        </w:rPr>
        <w:t>, online:</w:t>
      </w:r>
      <w:r w:rsidRPr="00910C1E">
        <w:t xml:space="preserve"> </w:t>
      </w:r>
      <w:hyperlink r:id="rId27" w:history="1">
        <w:r w:rsidRPr="003D6D02">
          <w:rPr>
            <w:rStyle w:val="Hyperlink"/>
            <w:rFonts w:ascii="Times New Roman" w:hAnsi="Times New Roman" w:cs="Times New Roman"/>
          </w:rPr>
          <w:t>https://www.legislation.gov.uk/ukpga/2006/3/contents</w:t>
        </w:r>
      </w:hyperlink>
      <w:r>
        <w:rPr>
          <w:rFonts w:ascii="Times New Roman" w:hAnsi="Times New Roman" w:cs="Times New Roman"/>
        </w:rPr>
        <w:t xml:space="preserve"> </w:t>
      </w:r>
      <w:r>
        <w:rPr>
          <w:rFonts w:ascii="Times New Roman" w:hAnsi="Times New Roman" w:cs="Times New Roman"/>
          <w:i/>
        </w:rPr>
        <w:t>.</w:t>
      </w:r>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lang w:val="en-AU"/>
        </w:rPr>
      </w:pPr>
      <w:r w:rsidRPr="00C76226">
        <w:rPr>
          <w:rFonts w:ascii="Times New Roman" w:hAnsi="Times New Roman" w:cs="Times New Roman"/>
          <w:i/>
        </w:rPr>
        <w:t>Equality</w:t>
      </w:r>
      <w:r w:rsidRPr="00C76226">
        <w:rPr>
          <w:rFonts w:ascii="Times New Roman" w:hAnsi="Times New Roman" w:cs="Times New Roman"/>
        </w:rPr>
        <w:t xml:space="preserve"> </w:t>
      </w:r>
      <w:r w:rsidRPr="00C76226">
        <w:rPr>
          <w:rFonts w:ascii="Times New Roman" w:hAnsi="Times New Roman" w:cs="Times New Roman"/>
          <w:i/>
          <w:lang w:val="en-AU"/>
        </w:rPr>
        <w:t>Act, 2010</w:t>
      </w:r>
      <w:r>
        <w:rPr>
          <w:rFonts w:ascii="Times New Roman" w:hAnsi="Times New Roman" w:cs="Times New Roman"/>
        </w:rPr>
        <w:t xml:space="preserve">, online:  </w:t>
      </w:r>
      <w:hyperlink r:id="rId28" w:history="1">
        <w:r w:rsidRPr="003D6D02">
          <w:rPr>
            <w:rStyle w:val="Hyperlink"/>
            <w:rFonts w:ascii="Times New Roman" w:hAnsi="Times New Roman" w:cs="Times New Roman"/>
          </w:rPr>
          <w:t>https://www.legislation.gov.uk/ukpga/2010/15/contents</w:t>
        </w:r>
      </w:hyperlink>
      <w:r>
        <w:rPr>
          <w:rFonts w:ascii="Times New Roman" w:hAnsi="Times New Roman" w:cs="Times New Roman"/>
        </w:rPr>
        <w:t xml:space="preserve"> </w:t>
      </w:r>
      <w:r w:rsidRPr="00C76226">
        <w:rPr>
          <w:rFonts w:ascii="Times New Roman" w:hAnsi="Times New Roman" w:cs="Times New Roman"/>
          <w:i/>
          <w:lang w:val="en-AU"/>
        </w:rPr>
        <w:t xml:space="preserve">. </w:t>
      </w:r>
    </w:p>
    <w:p w:rsidR="0035116A" w:rsidRPr="0035116A" w:rsidRDefault="0035116A" w:rsidP="00FA2231">
      <w:pPr>
        <w:rPr>
          <w:rFonts w:ascii="Times New Roman" w:hAnsi="Times New Roman" w:cs="Times New Roman"/>
        </w:rPr>
      </w:pPr>
      <w:r w:rsidRPr="0035116A">
        <w:rPr>
          <w:rFonts w:ascii="Times New Roman" w:hAnsi="Times New Roman" w:cs="Times New Roman"/>
          <w:i/>
        </w:rPr>
        <w:t>Public Service Vehicles Accessibility Regulations 2000 (PSVAR)</w:t>
      </w:r>
      <w:r w:rsidRPr="0035116A">
        <w:t xml:space="preserve"> </w:t>
      </w:r>
      <w:r>
        <w:t>(</w:t>
      </w:r>
      <w:r w:rsidRPr="003B5629">
        <w:rPr>
          <w:rFonts w:ascii="Times New Roman" w:hAnsi="Times New Roman" w:cs="Times New Roman"/>
        </w:rPr>
        <w:t>created as regulations under the DDA, 1995</w:t>
      </w:r>
      <w:r>
        <w:rPr>
          <w:rFonts w:ascii="Times New Roman" w:hAnsi="Times New Roman" w:cs="Times New Roman"/>
        </w:rPr>
        <w:t xml:space="preserve">) </w:t>
      </w:r>
      <w:hyperlink r:id="rId29" w:history="1">
        <w:r w:rsidR="009D1A3E" w:rsidRPr="00193C78">
          <w:rPr>
            <w:rStyle w:val="Hyperlink"/>
            <w:rFonts w:ascii="Times New Roman" w:hAnsi="Times New Roman" w:cs="Times New Roman"/>
          </w:rPr>
          <w:t>http://www.legislation.gov.uk/uksi/2000/1970/contents/made</w:t>
        </w:r>
      </w:hyperlink>
      <w:r w:rsidR="009D1A3E">
        <w:rPr>
          <w:rFonts w:ascii="Times New Roman" w:hAnsi="Times New Roman" w:cs="Times New Roman"/>
        </w:rPr>
        <w:t xml:space="preserve"> .</w:t>
      </w:r>
    </w:p>
    <w:p w:rsidR="00441534" w:rsidRDefault="003572D7" w:rsidP="00FA2231">
      <w:pPr>
        <w:rPr>
          <w:rFonts w:ascii="Times New Roman" w:hAnsi="Times New Roman" w:cs="Times New Roman"/>
        </w:rPr>
      </w:pPr>
      <w:r w:rsidRPr="00BB0448">
        <w:rPr>
          <w:rFonts w:ascii="Times New Roman" w:hAnsi="Times New Roman" w:cs="Times New Roman"/>
          <w:i/>
        </w:rPr>
        <w:t>Rail Vehicle Accessibility (Non-Interoperable Rail System) Regulations 2010</w:t>
      </w:r>
      <w:r w:rsidR="003B5629" w:rsidRPr="003B5629">
        <w:t xml:space="preserve"> </w:t>
      </w:r>
      <w:r w:rsidR="003B5629">
        <w:t>(</w:t>
      </w:r>
      <w:r w:rsidR="003B5629" w:rsidRPr="003B5629">
        <w:rPr>
          <w:rFonts w:ascii="Times New Roman" w:hAnsi="Times New Roman" w:cs="Times New Roman"/>
        </w:rPr>
        <w:t>created as regulations under the DDA, 1995</w:t>
      </w:r>
      <w:r w:rsidR="003B5629">
        <w:rPr>
          <w:rFonts w:ascii="Times New Roman" w:hAnsi="Times New Roman" w:cs="Times New Roman"/>
        </w:rPr>
        <w:t xml:space="preserve">) </w:t>
      </w:r>
      <w:hyperlink r:id="rId30" w:history="1">
        <w:r w:rsidR="0035116A" w:rsidRPr="00193C78">
          <w:rPr>
            <w:rStyle w:val="Hyperlink"/>
            <w:rFonts w:ascii="Times New Roman" w:hAnsi="Times New Roman" w:cs="Times New Roman"/>
          </w:rPr>
          <w:t>http://www.legislation.gov.uk/uksi/2010/432/pdfs/uksi_20100432_en.pdf</w:t>
        </w:r>
      </w:hyperlink>
      <w:r w:rsidR="0035116A">
        <w:rPr>
          <w:rFonts w:ascii="Times New Roman" w:hAnsi="Times New Roman" w:cs="Times New Roman"/>
        </w:rPr>
        <w:t xml:space="preserve"> </w:t>
      </w:r>
      <w:r w:rsidR="009D1A3E">
        <w:rPr>
          <w:rFonts w:ascii="Times New Roman" w:hAnsi="Times New Roman" w:cs="Times New Roman"/>
        </w:rPr>
        <w:t>.</w:t>
      </w:r>
    </w:p>
    <w:p w:rsidR="009D1A3E" w:rsidRPr="003B5629" w:rsidRDefault="009D1A3E" w:rsidP="00FA2231">
      <w:pPr>
        <w:rPr>
          <w:rFonts w:ascii="Times New Roman" w:hAnsi="Times New Roman" w:cs="Times New Roman"/>
        </w:rPr>
      </w:pPr>
    </w:p>
    <w:p w:rsidR="00FA2231" w:rsidRPr="008D1F7F" w:rsidRDefault="00FA2231" w:rsidP="00441534">
      <w:pPr>
        <w:spacing w:after="0"/>
        <w:rPr>
          <w:rFonts w:ascii="Times New Roman" w:hAnsi="Times New Roman" w:cs="Times New Roman"/>
          <w:b/>
          <w:u w:val="single"/>
        </w:rPr>
      </w:pPr>
      <w:r w:rsidRPr="008D1F7F">
        <w:rPr>
          <w:rFonts w:ascii="Times New Roman" w:hAnsi="Times New Roman" w:cs="Times New Roman"/>
          <w:b/>
          <w:u w:val="single"/>
        </w:rPr>
        <w:t xml:space="preserve">United States </w:t>
      </w:r>
    </w:p>
    <w:p w:rsidR="00FA2231" w:rsidRPr="00C473A4" w:rsidRDefault="00FA2231" w:rsidP="00FA2231">
      <w:pPr>
        <w:rPr>
          <w:rFonts w:ascii="Times New Roman" w:hAnsi="Times New Roman" w:cs="Times New Roman"/>
        </w:rPr>
      </w:pPr>
      <w:r w:rsidRPr="00C473A4">
        <w:rPr>
          <w:rFonts w:ascii="Times New Roman" w:hAnsi="Times New Roman" w:cs="Times New Roman"/>
          <w:i/>
        </w:rPr>
        <w:t>Americans with Disabilities Act of 1990</w:t>
      </w:r>
      <w:r w:rsidRPr="00C473A4">
        <w:rPr>
          <w:rFonts w:ascii="Times New Roman" w:hAnsi="Times New Roman" w:cs="Times New Roman"/>
        </w:rPr>
        <w:t xml:space="preserve">, (as amended by </w:t>
      </w:r>
      <w:r w:rsidRPr="00C473A4">
        <w:rPr>
          <w:rFonts w:ascii="Times New Roman" w:hAnsi="Times New Roman" w:cs="Times New Roman"/>
          <w:i/>
        </w:rPr>
        <w:t xml:space="preserve">ADA Amendments Act </w:t>
      </w:r>
      <w:r w:rsidRPr="00C473A4">
        <w:rPr>
          <w:rFonts w:ascii="Times New Roman" w:hAnsi="Times New Roman" w:cs="Times New Roman"/>
        </w:rPr>
        <w:t xml:space="preserve">of 2008) 42 USCS, online:  </w:t>
      </w:r>
      <w:hyperlink r:id="rId31" w:history="1">
        <w:r w:rsidRPr="00C473A4">
          <w:rPr>
            <w:rStyle w:val="Hyperlink"/>
            <w:rFonts w:ascii="Times New Roman" w:hAnsi="Times New Roman" w:cs="Times New Roman"/>
          </w:rPr>
          <w:t>https://www.ada.gov/pubs/adastatute08.htm</w:t>
        </w:r>
      </w:hyperlink>
      <w:r w:rsidRPr="00C473A4">
        <w:rPr>
          <w:rFonts w:ascii="Times New Roman" w:hAnsi="Times New Roman" w:cs="Times New Roman"/>
        </w:rPr>
        <w:t xml:space="preserve">  . </w:t>
      </w:r>
    </w:p>
    <w:p w:rsidR="00FA2231" w:rsidRPr="00C76226" w:rsidRDefault="00FA2231" w:rsidP="00FA2231">
      <w:pPr>
        <w:rPr>
          <w:rFonts w:ascii="Times New Roman" w:hAnsi="Times New Roman" w:cs="Times New Roman"/>
        </w:rPr>
      </w:pPr>
      <w:r w:rsidRPr="00C76226">
        <w:rPr>
          <w:rFonts w:ascii="Times New Roman" w:hAnsi="Times New Roman" w:cs="Times New Roman"/>
          <w:i/>
        </w:rPr>
        <w:t>Americans with Disabilities Act Title III Regulations</w:t>
      </w:r>
      <w:r w:rsidRPr="00C76226">
        <w:rPr>
          <w:rFonts w:ascii="Times New Roman" w:hAnsi="Times New Roman" w:cs="Times New Roman"/>
        </w:rPr>
        <w:t>, 28 CFR Part 36</w:t>
      </w:r>
      <w:r>
        <w:rPr>
          <w:rFonts w:ascii="Times New Roman" w:hAnsi="Times New Roman" w:cs="Times New Roman"/>
        </w:rPr>
        <w:t xml:space="preserve">, online: </w:t>
      </w:r>
      <w:hyperlink r:id="rId32" w:history="1">
        <w:r w:rsidRPr="003D6D02">
          <w:rPr>
            <w:rStyle w:val="Hyperlink"/>
            <w:rFonts w:ascii="Times New Roman" w:hAnsi="Times New Roman" w:cs="Times New Roman"/>
          </w:rPr>
          <w:t>https://www.ada.gov/2010_regs.htm</w:t>
        </w:r>
      </w:hyperlink>
      <w:r>
        <w:rPr>
          <w:rFonts w:ascii="Times New Roman" w:hAnsi="Times New Roman" w:cs="Times New Roman"/>
        </w:rPr>
        <w:t xml:space="preserve"> </w:t>
      </w:r>
      <w:r w:rsidRPr="00C76226">
        <w:rPr>
          <w:rFonts w:ascii="Times New Roman" w:hAnsi="Times New Roman" w:cs="Times New Roman"/>
        </w:rPr>
        <w:t xml:space="preserve">. </w:t>
      </w:r>
    </w:p>
    <w:p w:rsidR="00FA2231" w:rsidRDefault="00FA2231" w:rsidP="00FA2231">
      <w:pPr>
        <w:rPr>
          <w:rFonts w:ascii="Times New Roman" w:hAnsi="Times New Roman" w:cs="Times New Roman"/>
          <w:b/>
        </w:rPr>
      </w:pPr>
    </w:p>
    <w:p w:rsidR="00FA2231" w:rsidRPr="00441534" w:rsidRDefault="00FA2231" w:rsidP="00441534">
      <w:pPr>
        <w:spacing w:after="0"/>
        <w:rPr>
          <w:rFonts w:ascii="Times New Roman" w:hAnsi="Times New Roman" w:cs="Times New Roman"/>
          <w:b/>
          <w:u w:val="single"/>
        </w:rPr>
      </w:pPr>
      <w:r w:rsidRPr="00441534">
        <w:rPr>
          <w:rFonts w:ascii="Times New Roman" w:hAnsi="Times New Roman" w:cs="Times New Roman"/>
          <w:b/>
          <w:u w:val="single"/>
        </w:rPr>
        <w:t>International</w:t>
      </w:r>
    </w:p>
    <w:p w:rsidR="00FA2231" w:rsidRPr="00C76226" w:rsidRDefault="00FA2231" w:rsidP="00FA2231">
      <w:pPr>
        <w:rPr>
          <w:rFonts w:ascii="Times New Roman" w:hAnsi="Times New Roman" w:cs="Times New Roman"/>
        </w:rPr>
      </w:pPr>
      <w:r w:rsidRPr="001B060A">
        <w:rPr>
          <w:rFonts w:ascii="Times New Roman" w:hAnsi="Times New Roman" w:cs="Times New Roman"/>
          <w:i/>
        </w:rPr>
        <w:t>Convention on the Rights of Persons with Disabilities</w:t>
      </w:r>
      <w:r w:rsidRPr="00C76226">
        <w:rPr>
          <w:rFonts w:ascii="Times New Roman" w:hAnsi="Times New Roman" w:cs="Times New Roman"/>
        </w:rPr>
        <w:t xml:space="preserve"> </w:t>
      </w:r>
      <w:r w:rsidRPr="00532974">
        <w:rPr>
          <w:rFonts w:ascii="Times New Roman" w:hAnsi="Times New Roman" w:cs="Times New Roman"/>
        </w:rPr>
        <w:t>GA Res 61/106, UN Doc A/RES/61/106 (Jan. 24, 2007)</w:t>
      </w:r>
      <w:r>
        <w:rPr>
          <w:rFonts w:ascii="Times New Roman" w:hAnsi="Times New Roman" w:cs="Times New Roman"/>
        </w:rPr>
        <w:t>,</w:t>
      </w:r>
      <w:r w:rsidRPr="00532974">
        <w:rPr>
          <w:rFonts w:ascii="Times New Roman" w:hAnsi="Times New Roman" w:cs="Times New Roman"/>
        </w:rPr>
        <w:t xml:space="preserve"> </w:t>
      </w:r>
      <w:r w:rsidRPr="00C76226">
        <w:rPr>
          <w:rFonts w:ascii="Times New Roman" w:hAnsi="Times New Roman" w:cs="Times New Roman"/>
        </w:rPr>
        <w:t xml:space="preserve">(13 December 2006, United Nations, Treaty Series, vol. 2515), online: </w:t>
      </w:r>
      <w:hyperlink r:id="rId33" w:history="1">
        <w:r w:rsidRPr="00B12442">
          <w:rPr>
            <w:rStyle w:val="Hyperlink"/>
            <w:rFonts w:ascii="Times New Roman" w:hAnsi="Times New Roman" w:cs="Times New Roman"/>
          </w:rPr>
          <w:t>http://www.ohchr.org/EN/HRBodies/CRPD/Pages/ConventionRightsPersonsWithDisabilities.aspx</w:t>
        </w:r>
      </w:hyperlink>
      <w:r>
        <w:rPr>
          <w:rFonts w:ascii="Times New Roman" w:hAnsi="Times New Roman" w:cs="Times New Roman"/>
        </w:rPr>
        <w:t xml:space="preserve">. </w:t>
      </w:r>
    </w:p>
    <w:p w:rsidR="00FA2231" w:rsidRPr="00C76226" w:rsidRDefault="00FA2231" w:rsidP="00FA2231">
      <w:pPr>
        <w:rPr>
          <w:rFonts w:ascii="Times New Roman" w:hAnsi="Times New Roman" w:cs="Times New Roman"/>
        </w:rPr>
      </w:pPr>
    </w:p>
    <w:p w:rsidR="00FA2231" w:rsidRPr="00C76226" w:rsidRDefault="00FA2231" w:rsidP="00FA2231">
      <w:pPr>
        <w:rPr>
          <w:rFonts w:ascii="Times New Roman" w:hAnsi="Times New Roman" w:cs="Times New Roman"/>
          <w:b/>
        </w:rPr>
      </w:pPr>
    </w:p>
    <w:p w:rsidR="00FA2231" w:rsidRPr="005F63D8" w:rsidRDefault="00FA2231" w:rsidP="00FA2231">
      <w:pPr>
        <w:jc w:val="center"/>
        <w:rPr>
          <w:rFonts w:ascii="Times New Roman" w:hAnsi="Times New Roman" w:cs="Times New Roman"/>
          <w:b/>
          <w:i/>
        </w:rPr>
      </w:pPr>
      <w:r w:rsidRPr="005F63D8">
        <w:rPr>
          <w:rFonts w:ascii="Times New Roman" w:hAnsi="Times New Roman" w:cs="Times New Roman"/>
          <w:b/>
          <w:i/>
        </w:rPr>
        <w:t>Secondary Sources</w:t>
      </w:r>
    </w:p>
    <w:p w:rsidR="00FA2231" w:rsidRPr="00C76226" w:rsidRDefault="00FA2231" w:rsidP="00FA2231">
      <w:pPr>
        <w:rPr>
          <w:rFonts w:ascii="Times New Roman" w:hAnsi="Times New Roman" w:cs="Times New Roman"/>
        </w:rPr>
      </w:pPr>
    </w:p>
    <w:p w:rsidR="00FA2231" w:rsidRDefault="00FA2231" w:rsidP="00FA2231">
      <w:pPr>
        <w:rPr>
          <w:rFonts w:ascii="Times New Roman" w:hAnsi="Times New Roman" w:cs="Times New Roman"/>
          <w:b/>
          <w:u w:val="single"/>
        </w:rPr>
      </w:pPr>
      <w:r>
        <w:rPr>
          <w:rFonts w:ascii="Times New Roman" w:hAnsi="Times New Roman" w:cs="Times New Roman"/>
          <w:b/>
          <w:u w:val="single"/>
        </w:rPr>
        <w:t>Books</w:t>
      </w:r>
    </w:p>
    <w:p w:rsidR="00FA2231" w:rsidRDefault="00FA2231" w:rsidP="00FA2231">
      <w:pPr>
        <w:rPr>
          <w:rFonts w:ascii="Times New Roman" w:hAnsi="Times New Roman" w:cs="Times New Roman"/>
        </w:rPr>
      </w:pPr>
      <w:r>
        <w:rPr>
          <w:rFonts w:ascii="Times New Roman" w:hAnsi="Times New Roman" w:cs="Times New Roman"/>
        </w:rPr>
        <w:t>Rees, Neil, Rice,</w:t>
      </w:r>
      <w:r w:rsidRPr="00F85EB1">
        <w:rPr>
          <w:rFonts w:ascii="Times New Roman" w:hAnsi="Times New Roman" w:cs="Times New Roman"/>
        </w:rPr>
        <w:t xml:space="preserve"> </w:t>
      </w:r>
      <w:r>
        <w:rPr>
          <w:rFonts w:ascii="Times New Roman" w:hAnsi="Times New Roman" w:cs="Times New Roman"/>
        </w:rPr>
        <w:t>Simon &amp; Allen,</w:t>
      </w:r>
      <w:r>
        <w:rPr>
          <w:rFonts w:ascii="Times New Roman" w:hAnsi="Times New Roman" w:cs="Times New Roman"/>
          <w:i/>
        </w:rPr>
        <w:t xml:space="preserve"> </w:t>
      </w:r>
      <w:r>
        <w:rPr>
          <w:rFonts w:ascii="Times New Roman" w:hAnsi="Times New Roman" w:cs="Times New Roman"/>
        </w:rPr>
        <w:t xml:space="preserve">Dominique. </w:t>
      </w:r>
      <w:r>
        <w:rPr>
          <w:rFonts w:ascii="Times New Roman" w:hAnsi="Times New Roman" w:cs="Times New Roman"/>
          <w:i/>
        </w:rPr>
        <w:t xml:space="preserve">Australian Anti-Discrimination Law </w:t>
      </w:r>
      <w:r>
        <w:rPr>
          <w:rFonts w:ascii="Times New Roman" w:hAnsi="Times New Roman" w:cs="Times New Roman"/>
        </w:rPr>
        <w:t>2nd edition</w:t>
      </w:r>
      <w:r>
        <w:rPr>
          <w:rFonts w:ascii="Times New Roman" w:hAnsi="Times New Roman" w:cs="Times New Roman"/>
          <w:i/>
        </w:rPr>
        <w:t xml:space="preserve"> </w:t>
      </w:r>
      <w:r>
        <w:rPr>
          <w:rFonts w:ascii="Times New Roman" w:hAnsi="Times New Roman" w:cs="Times New Roman"/>
        </w:rPr>
        <w:t>(</w:t>
      </w:r>
      <w:r w:rsidR="00BB298E">
        <w:rPr>
          <w:rFonts w:ascii="Times New Roman" w:hAnsi="Times New Roman" w:cs="Times New Roman"/>
        </w:rPr>
        <w:t>Sydney</w:t>
      </w:r>
      <w:r>
        <w:rPr>
          <w:rFonts w:ascii="Times New Roman" w:hAnsi="Times New Roman" w:cs="Times New Roman"/>
        </w:rPr>
        <w:t>:</w:t>
      </w:r>
      <w:r w:rsidR="00BB298E" w:rsidRPr="00BB298E">
        <w:rPr>
          <w:rFonts w:ascii="Times New Roman" w:hAnsi="Times New Roman" w:cs="Times New Roman"/>
        </w:rPr>
        <w:t xml:space="preserve"> </w:t>
      </w:r>
      <w:r w:rsidR="00BB298E">
        <w:rPr>
          <w:rFonts w:ascii="Times New Roman" w:hAnsi="Times New Roman" w:cs="Times New Roman"/>
        </w:rPr>
        <w:t>Federation Press</w:t>
      </w:r>
      <w:r>
        <w:rPr>
          <w:rFonts w:ascii="Times New Roman" w:hAnsi="Times New Roman" w:cs="Times New Roman"/>
        </w:rPr>
        <w:t xml:space="preserve">, 2014). </w:t>
      </w:r>
    </w:p>
    <w:p w:rsidR="00FA2231" w:rsidRDefault="00FA2231" w:rsidP="00FA2231">
      <w:pPr>
        <w:rPr>
          <w:rFonts w:ascii="Times New Roman" w:hAnsi="Times New Roman" w:cs="Times New Roman"/>
        </w:rPr>
      </w:pPr>
      <w:r>
        <w:rPr>
          <w:rFonts w:ascii="Times New Roman" w:hAnsi="Times New Roman" w:cs="Times New Roman"/>
        </w:rPr>
        <w:t>Weber,</w:t>
      </w:r>
      <w:r w:rsidRPr="00F85EB1">
        <w:rPr>
          <w:rFonts w:ascii="Times New Roman" w:hAnsi="Times New Roman" w:cs="Times New Roman"/>
        </w:rPr>
        <w:t xml:space="preserve"> </w:t>
      </w:r>
      <w:r>
        <w:rPr>
          <w:rFonts w:ascii="Times New Roman" w:hAnsi="Times New Roman" w:cs="Times New Roman"/>
        </w:rPr>
        <w:t xml:space="preserve">Mark C. </w:t>
      </w:r>
      <w:r>
        <w:rPr>
          <w:rFonts w:ascii="Times New Roman" w:hAnsi="Times New Roman" w:cs="Times New Roman"/>
          <w:i/>
        </w:rPr>
        <w:t xml:space="preserve">Understanding Disability Law </w:t>
      </w:r>
      <w:r>
        <w:rPr>
          <w:rFonts w:ascii="Times New Roman" w:hAnsi="Times New Roman" w:cs="Times New Roman"/>
        </w:rPr>
        <w:t>(Durham: Carolina Academic Press, 2012).</w:t>
      </w:r>
    </w:p>
    <w:p w:rsidR="00FA2231" w:rsidRDefault="00FA2231" w:rsidP="00FA2231">
      <w:pPr>
        <w:rPr>
          <w:rFonts w:ascii="Times New Roman" w:hAnsi="Times New Roman" w:cs="Times New Roman"/>
          <w:b/>
          <w:u w:val="single"/>
        </w:rPr>
      </w:pPr>
    </w:p>
    <w:p w:rsidR="00FA2231" w:rsidRDefault="00FA2231" w:rsidP="00FA2231">
      <w:pPr>
        <w:rPr>
          <w:rFonts w:ascii="Times New Roman" w:hAnsi="Times New Roman" w:cs="Times New Roman"/>
          <w:b/>
          <w:u w:val="single"/>
        </w:rPr>
      </w:pPr>
      <w:r>
        <w:rPr>
          <w:rFonts w:ascii="Times New Roman" w:hAnsi="Times New Roman" w:cs="Times New Roman"/>
          <w:b/>
          <w:u w:val="single"/>
        </w:rPr>
        <w:t>Reports and Communications</w:t>
      </w:r>
    </w:p>
    <w:p w:rsidR="00FA2231" w:rsidRDefault="00FA2231" w:rsidP="00FA2231">
      <w:pPr>
        <w:rPr>
          <w:rFonts w:ascii="Times New Roman" w:hAnsi="Times New Roman" w:cs="Times New Roman"/>
        </w:rPr>
      </w:pPr>
      <w:r w:rsidRPr="00F55B93">
        <w:rPr>
          <w:rFonts w:ascii="Times New Roman" w:hAnsi="Times New Roman" w:cs="Times New Roman"/>
        </w:rPr>
        <w:t xml:space="preserve">ADA National Network – </w:t>
      </w:r>
      <w:hyperlink r:id="rId34" w:history="1">
        <w:r w:rsidRPr="00F55B93">
          <w:rPr>
            <w:rStyle w:val="Hyperlink"/>
            <w:rFonts w:ascii="Times New Roman" w:hAnsi="Times New Roman" w:cs="Times New Roman"/>
          </w:rPr>
          <w:t>https://adata.org/</w:t>
        </w:r>
      </w:hyperlink>
      <w:r w:rsidRPr="00F55B93">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Australian Human Rights Commission</w:t>
      </w:r>
      <w:r>
        <w:rPr>
          <w:rFonts w:ascii="Times New Roman" w:hAnsi="Times New Roman" w:cs="Times New Roman"/>
        </w:rPr>
        <w:t>.</w:t>
      </w:r>
      <w:r w:rsidRPr="00C76226">
        <w:rPr>
          <w:rFonts w:ascii="Times New Roman" w:hAnsi="Times New Roman" w:cs="Times New Roman"/>
        </w:rPr>
        <w:t xml:space="preserve"> “</w:t>
      </w:r>
      <w:r w:rsidRPr="006E4847">
        <w:rPr>
          <w:rFonts w:ascii="Times New Roman" w:hAnsi="Times New Roman" w:cs="Times New Roman"/>
          <w:i/>
        </w:rPr>
        <w:t xml:space="preserve">Disability Discrimination Act </w:t>
      </w:r>
      <w:r w:rsidRPr="00C76226">
        <w:rPr>
          <w:rFonts w:ascii="Times New Roman" w:hAnsi="Times New Roman" w:cs="Times New Roman"/>
        </w:rPr>
        <w:t xml:space="preserve">Action Plans: A Guide for Business”, online:  </w:t>
      </w:r>
      <w:hyperlink r:id="rId35" w:history="1">
        <w:r w:rsidRPr="00C76226">
          <w:rPr>
            <w:rStyle w:val="Hyperlink"/>
            <w:rFonts w:ascii="Times New Roman" w:hAnsi="Times New Roman" w:cs="Times New Roman"/>
          </w:rPr>
          <w:t>http://www.humanrights.gov.au/disability-discrimination-act-action-plans-guide-business</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Australian Human Rights Commission</w:t>
      </w:r>
      <w:r>
        <w:rPr>
          <w:rFonts w:ascii="Times New Roman" w:hAnsi="Times New Roman" w:cs="Times New Roman"/>
        </w:rPr>
        <w:t>.</w:t>
      </w:r>
      <w:r w:rsidRPr="00C76226">
        <w:rPr>
          <w:rFonts w:ascii="Times New Roman" w:hAnsi="Times New Roman" w:cs="Times New Roman"/>
        </w:rPr>
        <w:t xml:space="preserve"> “Fact Sheet 7: Australia and Human Rights Treaties”, online: </w:t>
      </w:r>
      <w:hyperlink r:id="rId36" w:history="1">
        <w:r w:rsidRPr="00C76226">
          <w:rPr>
            <w:rStyle w:val="Hyperlink"/>
            <w:rFonts w:ascii="Times New Roman" w:hAnsi="Times New Roman" w:cs="Times New Roman"/>
          </w:rPr>
          <w:t>https://www.humanrights.gov.au/human-rights-explained-fact-sheet-7australia-and-human-rights-treaties</w:t>
        </w:r>
      </w:hyperlink>
      <w:r w:rsidRPr="00C76226">
        <w:rPr>
          <w:rFonts w:ascii="Times New Roman" w:hAnsi="Times New Roman" w:cs="Times New Roman"/>
        </w:rPr>
        <w:t xml:space="preserve">. </w:t>
      </w:r>
    </w:p>
    <w:p w:rsidR="00FA2231" w:rsidRPr="00C76226" w:rsidRDefault="00FA2231" w:rsidP="00FA2231">
      <w:pPr>
        <w:rPr>
          <w:rFonts w:ascii="Times New Roman" w:eastAsia="Times New Roman" w:hAnsi="Times New Roman" w:cs="Times New Roman"/>
        </w:rPr>
      </w:pPr>
      <w:r w:rsidRPr="00C76226">
        <w:rPr>
          <w:rFonts w:ascii="Times New Roman" w:eastAsia="Times New Roman" w:hAnsi="Times New Roman" w:cs="Times New Roman"/>
        </w:rPr>
        <w:t>Aus</w:t>
      </w:r>
      <w:r>
        <w:rPr>
          <w:rFonts w:ascii="Times New Roman" w:eastAsia="Times New Roman" w:hAnsi="Times New Roman" w:cs="Times New Roman"/>
        </w:rPr>
        <w:t>tralian Human Rights Commission.</w:t>
      </w:r>
      <w:r w:rsidRPr="00C76226">
        <w:rPr>
          <w:rFonts w:ascii="Times New Roman" w:eastAsia="Times New Roman" w:hAnsi="Times New Roman" w:cs="Times New Roman"/>
          <w:i/>
        </w:rPr>
        <w:t xml:space="preserve"> Federal Discrimination Law (2016), </w:t>
      </w:r>
      <w:r w:rsidRPr="00C76226">
        <w:rPr>
          <w:rFonts w:ascii="Times New Roman" w:eastAsia="Times New Roman" w:hAnsi="Times New Roman" w:cs="Times New Roman"/>
        </w:rPr>
        <w:t xml:space="preserve">online: </w:t>
      </w:r>
      <w:hyperlink r:id="rId37" w:history="1">
        <w:r w:rsidRPr="00C76226">
          <w:rPr>
            <w:rStyle w:val="Hyperlink"/>
            <w:rFonts w:ascii="Times New Roman" w:eastAsia="Times New Roman" w:hAnsi="Times New Roman" w:cs="Times New Roman"/>
          </w:rPr>
          <w:t>http://www.humanrights.gov.au/our-work/legal/publications/federal-discrimination-law-2016</w:t>
        </w:r>
      </w:hyperlink>
      <w:r w:rsidRPr="00C76226">
        <w:rPr>
          <w:rFonts w:ascii="Times New Roman" w:eastAsia="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BC Human Rights Tribunal</w:t>
      </w:r>
      <w:r>
        <w:rPr>
          <w:rFonts w:ascii="Times New Roman" w:hAnsi="Times New Roman" w:cs="Times New Roman"/>
        </w:rPr>
        <w:t xml:space="preserve">. </w:t>
      </w:r>
      <w:r w:rsidRPr="001331CB">
        <w:rPr>
          <w:rFonts w:ascii="Times New Roman" w:hAnsi="Times New Roman" w:cs="Times New Roman"/>
          <w:i/>
        </w:rPr>
        <w:t>2006-7 BC Human Rights Tribunal Annual Report</w:t>
      </w:r>
      <w:r w:rsidRPr="00C76226">
        <w:rPr>
          <w:rFonts w:ascii="Times New Roman" w:hAnsi="Times New Roman" w:cs="Times New Roman"/>
        </w:rPr>
        <w:t xml:space="preserve">, online:  </w:t>
      </w:r>
      <w:hyperlink r:id="rId38" w:history="1">
        <w:r w:rsidRPr="00C76226">
          <w:rPr>
            <w:rStyle w:val="Hyperlink"/>
            <w:rFonts w:ascii="Times New Roman" w:hAnsi="Times New Roman" w:cs="Times New Roman"/>
          </w:rPr>
          <w:t>http://www.bchrt.bc.ca/shareddocs/annual_reports/2006-2007.pdf</w:t>
        </w:r>
      </w:hyperlink>
      <w:r w:rsidRPr="00C76226">
        <w:rPr>
          <w:rFonts w:ascii="Times New Roman" w:hAnsi="Times New Roman" w:cs="Times New Roman"/>
        </w:rPr>
        <w:t>.</w:t>
      </w:r>
    </w:p>
    <w:p w:rsidR="00FA2231" w:rsidRPr="00C76226" w:rsidRDefault="00FA2231" w:rsidP="00FA2231">
      <w:pPr>
        <w:rPr>
          <w:rFonts w:ascii="Times New Roman" w:hAnsi="Times New Roman" w:cs="Times New Roman"/>
        </w:rPr>
      </w:pPr>
      <w:r w:rsidRPr="00C76226">
        <w:rPr>
          <w:rFonts w:ascii="Times New Roman" w:hAnsi="Times New Roman" w:cs="Times New Roman"/>
        </w:rPr>
        <w:t>BC Human Rights Tribunal</w:t>
      </w:r>
      <w:r>
        <w:rPr>
          <w:rFonts w:ascii="Times New Roman" w:hAnsi="Times New Roman" w:cs="Times New Roman"/>
        </w:rPr>
        <w:t xml:space="preserve">. </w:t>
      </w:r>
      <w:r w:rsidRPr="001331CB">
        <w:rPr>
          <w:rFonts w:ascii="Times New Roman" w:hAnsi="Times New Roman" w:cs="Times New Roman"/>
          <w:i/>
        </w:rPr>
        <w:t>2007-8 BC Human Rights Tribunal Annual Report</w:t>
      </w:r>
      <w:r w:rsidRPr="00C76226">
        <w:rPr>
          <w:rFonts w:ascii="Times New Roman" w:hAnsi="Times New Roman" w:cs="Times New Roman"/>
        </w:rPr>
        <w:t xml:space="preserve">, online:  </w:t>
      </w:r>
      <w:hyperlink r:id="rId39" w:history="1">
        <w:r w:rsidRPr="00C76226">
          <w:rPr>
            <w:rStyle w:val="Hyperlink"/>
            <w:rFonts w:ascii="Times New Roman" w:hAnsi="Times New Roman" w:cs="Times New Roman"/>
          </w:rPr>
          <w:t>http://www.bchrt.bc.ca/shareddocs/annual_reports/2007-2008.pdf</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BC Human Rights Tribunal</w:t>
      </w:r>
      <w:r>
        <w:rPr>
          <w:rFonts w:ascii="Times New Roman" w:hAnsi="Times New Roman" w:cs="Times New Roman"/>
        </w:rPr>
        <w:t xml:space="preserve">. </w:t>
      </w:r>
      <w:r w:rsidRPr="001331CB">
        <w:rPr>
          <w:rFonts w:ascii="Times New Roman" w:hAnsi="Times New Roman" w:cs="Times New Roman"/>
          <w:i/>
        </w:rPr>
        <w:t>2015-16 BC Human Rights Tribunal Annual Report</w:t>
      </w:r>
      <w:r>
        <w:rPr>
          <w:rFonts w:ascii="Times New Roman" w:hAnsi="Times New Roman" w:cs="Times New Roman"/>
        </w:rPr>
        <w:t xml:space="preserve">, online: </w:t>
      </w:r>
      <w:hyperlink r:id="rId40" w:history="1">
        <w:r w:rsidRPr="00B12442">
          <w:rPr>
            <w:rStyle w:val="Hyperlink"/>
            <w:rFonts w:ascii="Times New Roman" w:hAnsi="Times New Roman" w:cs="Times New Roman"/>
          </w:rPr>
          <w:t>http://www.bchrt.bc.ca/shareddocs/annual_reports/2015-2016.pdf</w:t>
        </w:r>
      </w:hyperlink>
      <w:r>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C</w:t>
      </w:r>
      <w:r>
        <w:rPr>
          <w:rFonts w:ascii="Times New Roman" w:hAnsi="Times New Roman" w:cs="Times New Roman"/>
        </w:rPr>
        <w:t>anadian Human Rights Commission.</w:t>
      </w:r>
      <w:r w:rsidRPr="00C76226">
        <w:rPr>
          <w:rFonts w:ascii="Times New Roman" w:hAnsi="Times New Roman" w:cs="Times New Roman"/>
        </w:rPr>
        <w:t xml:space="preserve"> </w:t>
      </w:r>
      <w:r w:rsidRPr="00C76226">
        <w:rPr>
          <w:rFonts w:ascii="Times New Roman" w:hAnsi="Times New Roman" w:cs="Times New Roman"/>
          <w:i/>
        </w:rPr>
        <w:t>Left Out: Challenges faced by persons with disabilities in Canada’s schools</w:t>
      </w:r>
      <w:r w:rsidRPr="00C76226">
        <w:rPr>
          <w:rFonts w:ascii="Times New Roman" w:hAnsi="Times New Roman" w:cs="Times New Roman"/>
        </w:rPr>
        <w:t xml:space="preserve">, online:  </w:t>
      </w:r>
      <w:hyperlink r:id="rId41" w:history="1">
        <w:r w:rsidRPr="00C76226">
          <w:rPr>
            <w:rStyle w:val="Hyperlink"/>
            <w:rFonts w:ascii="Times New Roman" w:hAnsi="Times New Roman" w:cs="Times New Roman"/>
          </w:rPr>
          <w:t>https://www.chrc-ccdp.gc.ca/eng/content/left-out-challenges-faced-persons-disabilities-canadas-schools</w:t>
        </w:r>
      </w:hyperlink>
      <w:r w:rsidRPr="00C76226">
        <w:rPr>
          <w:rStyle w:val="Hyperlink"/>
          <w:rFonts w:ascii="Times New Roman" w:hAnsi="Times New Roman" w:cs="Times New Roman"/>
        </w:rPr>
        <w:t>.</w:t>
      </w:r>
      <w:r w:rsidRPr="00C76226">
        <w:rPr>
          <w:rFonts w:ascii="Times New Roman" w:hAnsi="Times New Roman" w:cs="Times New Roman"/>
        </w:rPr>
        <w:t xml:space="preserve"> </w:t>
      </w:r>
    </w:p>
    <w:p w:rsidR="00FA2231" w:rsidRPr="00C76226" w:rsidRDefault="00FA2231" w:rsidP="00FA2231">
      <w:pPr>
        <w:pStyle w:val="FootnoteText"/>
        <w:rPr>
          <w:rFonts w:ascii="Times New Roman" w:hAnsi="Times New Roman" w:cs="Times New Roman"/>
          <w:sz w:val="24"/>
          <w:szCs w:val="24"/>
        </w:rPr>
      </w:pPr>
      <w:r w:rsidRPr="006D7F19">
        <w:rPr>
          <w:rFonts w:ascii="Times New Roman" w:hAnsi="Times New Roman" w:cs="Times New Roman"/>
          <w:sz w:val="22"/>
          <w:szCs w:val="22"/>
          <w:lang w:val="en-US"/>
        </w:rPr>
        <w:t xml:space="preserve">Canadian </w:t>
      </w:r>
      <w:r w:rsidRPr="006D7F19">
        <w:rPr>
          <w:rFonts w:ascii="Times New Roman" w:hAnsi="Times New Roman" w:cs="Times New Roman"/>
          <w:sz w:val="22"/>
          <w:szCs w:val="22"/>
        </w:rPr>
        <w:t xml:space="preserve">Human Rights Commission. </w:t>
      </w:r>
      <w:r w:rsidRPr="006D7F19">
        <w:rPr>
          <w:rFonts w:ascii="Times New Roman" w:hAnsi="Times New Roman" w:cs="Times New Roman"/>
          <w:i/>
          <w:sz w:val="22"/>
          <w:szCs w:val="22"/>
        </w:rPr>
        <w:t>People First:</w:t>
      </w:r>
      <w:r w:rsidRPr="006D7F19">
        <w:rPr>
          <w:rFonts w:ascii="Times New Roman" w:hAnsi="Times New Roman" w:cs="Times New Roman"/>
          <w:sz w:val="22"/>
          <w:szCs w:val="22"/>
        </w:rPr>
        <w:t xml:space="preserve"> </w:t>
      </w:r>
      <w:r w:rsidRPr="006D7F19">
        <w:rPr>
          <w:rFonts w:ascii="Times New Roman" w:hAnsi="Times New Roman" w:cs="Times New Roman"/>
          <w:i/>
          <w:sz w:val="22"/>
          <w:szCs w:val="22"/>
        </w:rPr>
        <w:t>The Canadian Human Rights Commission’s 2016 Annual Report to Parliament</w:t>
      </w:r>
      <w:r w:rsidRPr="006D7F19">
        <w:rPr>
          <w:rFonts w:ascii="Times New Roman" w:hAnsi="Times New Roman" w:cs="Times New Roman"/>
          <w:sz w:val="22"/>
          <w:szCs w:val="22"/>
        </w:rPr>
        <w:t xml:space="preserve">, online:  </w:t>
      </w:r>
      <w:hyperlink r:id="rId42" w:history="1">
        <w:r w:rsidRPr="006D7F19">
          <w:rPr>
            <w:rStyle w:val="Hyperlink"/>
            <w:rFonts w:ascii="Times New Roman" w:hAnsi="Times New Roman" w:cs="Times New Roman"/>
            <w:sz w:val="22"/>
            <w:szCs w:val="22"/>
          </w:rPr>
          <w:t>https://www.chrc-ccdp.gc.ca/eng/content/annual-report-2016</w:t>
        </w:r>
      </w:hyperlink>
      <w:r w:rsidRPr="00C76226">
        <w:rPr>
          <w:rFonts w:ascii="Times New Roman" w:hAnsi="Times New Roman" w:cs="Times New Roman"/>
          <w:sz w:val="24"/>
          <w:szCs w:val="24"/>
        </w:rPr>
        <w:t>.</w:t>
      </w:r>
    </w:p>
    <w:p w:rsidR="006D7F19" w:rsidRDefault="006D7F19" w:rsidP="006D7F19">
      <w:pPr>
        <w:spacing w:after="0"/>
        <w:rPr>
          <w:rFonts w:ascii="Times New Roman" w:eastAsia="Times New Roman" w:hAnsi="Times New Roman" w:cs="Times New Roman"/>
        </w:rPr>
      </w:pPr>
    </w:p>
    <w:p w:rsidR="009D1A3E" w:rsidRDefault="009D1A3E" w:rsidP="00FA2231">
      <w:pPr>
        <w:rPr>
          <w:rFonts w:ascii="Times New Roman" w:eastAsia="Times New Roman" w:hAnsi="Times New Roman" w:cs="Times New Roman"/>
        </w:rPr>
      </w:pPr>
      <w:r>
        <w:rPr>
          <w:rFonts w:ascii="Times New Roman" w:eastAsia="Times New Roman" w:hAnsi="Times New Roman" w:cs="Times New Roman"/>
        </w:rPr>
        <w:t>Equality Advisory and Support Service (UK). “</w:t>
      </w:r>
      <w:r w:rsidRPr="009D1A3E">
        <w:rPr>
          <w:rFonts w:ascii="Times New Roman" w:eastAsia="Times New Roman" w:hAnsi="Times New Roman" w:cs="Times New Roman"/>
        </w:rPr>
        <w:t>Do you need advice?</w:t>
      </w:r>
      <w:r>
        <w:rPr>
          <w:rFonts w:ascii="Times New Roman" w:eastAsia="Times New Roman" w:hAnsi="Times New Roman" w:cs="Times New Roman"/>
        </w:rPr>
        <w:t xml:space="preserve">”, online:  </w:t>
      </w:r>
      <w:hyperlink r:id="rId43" w:history="1">
        <w:r w:rsidRPr="00193C78">
          <w:rPr>
            <w:rStyle w:val="Hyperlink"/>
            <w:rFonts w:ascii="Times New Roman" w:eastAsia="Times New Roman" w:hAnsi="Times New Roman" w:cs="Times New Roman"/>
          </w:rPr>
          <w:t>https://www.equalityadvisoryservice.com/</w:t>
        </w:r>
      </w:hyperlink>
      <w:r>
        <w:rPr>
          <w:rFonts w:ascii="Times New Roman" w:eastAsia="Times New Roman" w:hAnsi="Times New Roman" w:cs="Times New Roman"/>
        </w:rPr>
        <w:t xml:space="preserve"> </w:t>
      </w:r>
    </w:p>
    <w:p w:rsidR="00FA2231" w:rsidRPr="00660406" w:rsidRDefault="00FA2231" w:rsidP="00FA2231">
      <w:pPr>
        <w:rPr>
          <w:rFonts w:ascii="Times New Roman" w:eastAsia="Times New Roman" w:hAnsi="Times New Roman" w:cs="Times New Roman"/>
        </w:rPr>
      </w:pPr>
      <w:r w:rsidRPr="00660406">
        <w:rPr>
          <w:rFonts w:ascii="Times New Roman" w:eastAsia="Times New Roman" w:hAnsi="Times New Roman" w:cs="Times New Roman"/>
        </w:rPr>
        <w:t>Government of Canada (Employment</w:t>
      </w:r>
      <w:r>
        <w:rPr>
          <w:rFonts w:ascii="Times New Roman" w:eastAsia="Times New Roman" w:hAnsi="Times New Roman" w:cs="Times New Roman"/>
        </w:rPr>
        <w:t xml:space="preserve"> and Social Development Canada).</w:t>
      </w:r>
      <w:r w:rsidRPr="00660406">
        <w:rPr>
          <w:rFonts w:ascii="Times New Roman" w:eastAsia="Times New Roman" w:hAnsi="Times New Roman" w:cs="Times New Roman"/>
        </w:rPr>
        <w:t xml:space="preserve"> </w:t>
      </w:r>
      <w:r w:rsidRPr="00660406">
        <w:rPr>
          <w:rFonts w:ascii="Times New Roman" w:eastAsia="Times New Roman" w:hAnsi="Times New Roman" w:cs="Times New Roman"/>
          <w:i/>
          <w:iCs/>
        </w:rPr>
        <w:t>Creating new federal accessibility legislation: What we learned from Canadians</w:t>
      </w:r>
      <w:r w:rsidRPr="00660406">
        <w:rPr>
          <w:rFonts w:ascii="Times New Roman" w:eastAsia="Times New Roman" w:hAnsi="Times New Roman" w:cs="Times New Roman"/>
        </w:rPr>
        <w:t xml:space="preserve"> Release date: May 29, 2017</w:t>
      </w:r>
      <w:r>
        <w:rPr>
          <w:rFonts w:ascii="Times New Roman" w:eastAsia="Times New Roman" w:hAnsi="Times New Roman" w:cs="Times New Roman"/>
        </w:rPr>
        <w:t xml:space="preserve">, </w:t>
      </w:r>
      <w:r w:rsidRPr="006B5642">
        <w:rPr>
          <w:rFonts w:ascii="Times New Roman" w:eastAsia="Times New Roman" w:hAnsi="Times New Roman" w:cs="Times New Roman"/>
        </w:rPr>
        <w:t xml:space="preserve">online: </w:t>
      </w:r>
      <w:hyperlink r:id="rId44" w:history="1">
        <w:r w:rsidRPr="003D6D02">
          <w:rPr>
            <w:rStyle w:val="Hyperlink"/>
            <w:rFonts w:ascii="Times New Roman" w:eastAsia="Times New Roman" w:hAnsi="Times New Roman" w:cs="Times New Roman"/>
          </w:rPr>
          <w:t>https://www.canada.ca/en/employment-social-development/programs/planned-accessibility-legislation/reports/consultations-what-we-learned.html</w:t>
        </w:r>
      </w:hyperlink>
      <w:r>
        <w:rPr>
          <w:rFonts w:ascii="Times New Roman" w:eastAsia="Times New Roman" w:hAnsi="Times New Roman" w:cs="Times New Roman"/>
        </w:rPr>
        <w:t xml:space="preserve"> </w:t>
      </w:r>
      <w:r w:rsidRPr="00C76226">
        <w:rPr>
          <w:rFonts w:ascii="Times New Roman" w:eastAsia="Times New Roman" w:hAnsi="Times New Roman" w:cs="Times New Roman"/>
        </w:rPr>
        <w:t xml:space="preserve">. </w:t>
      </w:r>
    </w:p>
    <w:p w:rsidR="00FA2231" w:rsidRDefault="00FA2231" w:rsidP="00FA2231">
      <w:pPr>
        <w:rPr>
          <w:rFonts w:ascii="Times New Roman" w:eastAsia="Times New Roman" w:hAnsi="Times New Roman" w:cs="Times New Roman"/>
        </w:rPr>
      </w:pPr>
      <w:r w:rsidRPr="00C76226">
        <w:rPr>
          <w:rFonts w:ascii="Times New Roman" w:eastAsia="Times New Roman" w:hAnsi="Times New Roman" w:cs="Times New Roman"/>
        </w:rPr>
        <w:t>Government of Ontario</w:t>
      </w:r>
      <w:r>
        <w:rPr>
          <w:rFonts w:ascii="Times New Roman" w:eastAsia="Times New Roman" w:hAnsi="Times New Roman" w:cs="Times New Roman"/>
        </w:rPr>
        <w:t>.</w:t>
      </w:r>
      <w:r w:rsidRPr="00C76226">
        <w:rPr>
          <w:rFonts w:ascii="Times New Roman" w:eastAsia="Times New Roman" w:hAnsi="Times New Roman" w:cs="Times New Roman"/>
        </w:rPr>
        <w:t xml:space="preserve"> </w:t>
      </w:r>
      <w:r w:rsidRPr="00C76226">
        <w:rPr>
          <w:rFonts w:ascii="Times New Roman" w:eastAsia="Times New Roman" w:hAnsi="Times New Roman" w:cs="Times New Roman"/>
          <w:i/>
          <w:iCs/>
        </w:rPr>
        <w:t>Accessibility compliance and enforcement report 2016</w:t>
      </w:r>
      <w:r w:rsidRPr="00C76226">
        <w:rPr>
          <w:rFonts w:ascii="Times New Roman" w:eastAsia="Times New Roman" w:hAnsi="Times New Roman" w:cs="Times New Roman"/>
        </w:rPr>
        <w:t xml:space="preserve">, online: </w:t>
      </w:r>
      <w:hyperlink r:id="rId45" w:tgtFrame="_blank" w:history="1">
        <w:r w:rsidRPr="00C76226">
          <w:rPr>
            <w:rStyle w:val="Hyperlink"/>
            <w:rFonts w:ascii="Times New Roman" w:eastAsia="Times New Roman" w:hAnsi="Times New Roman" w:cs="Times New Roman"/>
          </w:rPr>
          <w:t>https://www.ontario.ca/page/accessibility-compliance-and-enforcement-report-2016</w:t>
        </w:r>
      </w:hyperlink>
      <w:r w:rsidRPr="00C76226">
        <w:rPr>
          <w:rFonts w:ascii="Times New Roman" w:eastAsia="Times New Roman" w:hAnsi="Times New Roman" w:cs="Times New Roman"/>
        </w:rPr>
        <w:t>.</w:t>
      </w:r>
    </w:p>
    <w:p w:rsidR="00FA2231" w:rsidRPr="00C76226" w:rsidRDefault="00FA2231" w:rsidP="00FA2231">
      <w:pPr>
        <w:rPr>
          <w:rFonts w:ascii="Times New Roman" w:hAnsi="Times New Roman" w:cs="Times New Roman"/>
        </w:rPr>
      </w:pPr>
      <w:r>
        <w:rPr>
          <w:rFonts w:ascii="Times New Roman" w:hAnsi="Times New Roman" w:cs="Times New Roman"/>
        </w:rPr>
        <w:t xml:space="preserve">Government of </w:t>
      </w:r>
      <w:r w:rsidRPr="00C76226">
        <w:rPr>
          <w:rFonts w:ascii="Times New Roman" w:hAnsi="Times New Roman" w:cs="Times New Roman"/>
        </w:rPr>
        <w:t>Ontario</w:t>
      </w:r>
      <w:r>
        <w:rPr>
          <w:rFonts w:ascii="Times New Roman" w:hAnsi="Times New Roman" w:cs="Times New Roman"/>
        </w:rPr>
        <w:t>.</w:t>
      </w:r>
      <w:r w:rsidRPr="00C76226">
        <w:rPr>
          <w:rFonts w:ascii="Times New Roman" w:hAnsi="Times New Roman" w:cs="Times New Roman"/>
        </w:rPr>
        <w:t xml:space="preserve"> “Accessible Workplaces”, online: </w:t>
      </w:r>
      <w:hyperlink r:id="rId46" w:history="1">
        <w:r w:rsidRPr="00C76226">
          <w:rPr>
            <w:rStyle w:val="Hyperlink"/>
            <w:rFonts w:ascii="Times New Roman" w:hAnsi="Times New Roman" w:cs="Times New Roman"/>
          </w:rPr>
          <w:t>https://www.ontario.ca/page/accessible-workplaces</w:t>
        </w:r>
      </w:hyperlink>
      <w:r>
        <w:rPr>
          <w:rStyle w:val="Hyperlink"/>
          <w:rFonts w:ascii="Times New Roman" w:hAnsi="Times New Roman" w:cs="Times New Roman"/>
        </w:rPr>
        <w:t xml:space="preserve"> </w:t>
      </w:r>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Pr>
          <w:rFonts w:ascii="Times New Roman" w:hAnsi="Times New Roman" w:cs="Times New Roman"/>
        </w:rPr>
        <w:t xml:space="preserve">Government of </w:t>
      </w:r>
      <w:r w:rsidRPr="00C76226">
        <w:rPr>
          <w:rFonts w:ascii="Times New Roman" w:hAnsi="Times New Roman" w:cs="Times New Roman"/>
        </w:rPr>
        <w:t>Ontario</w:t>
      </w:r>
      <w:r>
        <w:rPr>
          <w:rFonts w:ascii="Times New Roman" w:hAnsi="Times New Roman" w:cs="Times New Roman"/>
        </w:rPr>
        <w:t>.</w:t>
      </w:r>
      <w:r w:rsidRPr="00C76226">
        <w:rPr>
          <w:rFonts w:ascii="Times New Roman" w:hAnsi="Times New Roman" w:cs="Times New Roman"/>
        </w:rPr>
        <w:t xml:space="preserve"> “Enabling Change Program 2018-19”, online: </w:t>
      </w:r>
      <w:hyperlink r:id="rId47" w:history="1">
        <w:r w:rsidRPr="00C76226">
          <w:rPr>
            <w:rStyle w:val="Hyperlink"/>
            <w:rFonts w:ascii="Times New Roman" w:hAnsi="Times New Roman" w:cs="Times New Roman"/>
          </w:rPr>
          <w:t>http://www.grants.gov.on.ca/GrantsPortal/en/OntarioGrants/GrantOpportunities/PRDR006997</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Pr>
          <w:rFonts w:ascii="Times New Roman" w:hAnsi="Times New Roman" w:cs="Times New Roman"/>
        </w:rPr>
        <w:t xml:space="preserve">Government of </w:t>
      </w:r>
      <w:r w:rsidRPr="00C76226">
        <w:rPr>
          <w:rFonts w:ascii="Times New Roman" w:hAnsi="Times New Roman" w:cs="Times New Roman"/>
        </w:rPr>
        <w:t>Ontario, Access Ontario</w:t>
      </w:r>
      <w:r>
        <w:rPr>
          <w:rFonts w:ascii="Times New Roman" w:hAnsi="Times New Roman" w:cs="Times New Roman"/>
        </w:rPr>
        <w:t xml:space="preserve">. </w:t>
      </w:r>
      <w:r w:rsidRPr="00C76226">
        <w:rPr>
          <w:rFonts w:ascii="Times New Roman" w:hAnsi="Times New Roman" w:cs="Times New Roman"/>
        </w:rPr>
        <w:t xml:space="preserve"> </w:t>
      </w:r>
      <w:r w:rsidRPr="00C76226">
        <w:rPr>
          <w:rFonts w:ascii="Times New Roman" w:hAnsi="Times New Roman" w:cs="Times New Roman"/>
          <w:i/>
        </w:rPr>
        <w:t>A Guide to the Integrated Accessibility Standards Regulation</w:t>
      </w:r>
      <w:r w:rsidRPr="00C76226">
        <w:rPr>
          <w:rFonts w:ascii="Times New Roman" w:hAnsi="Times New Roman" w:cs="Times New Roman"/>
        </w:rPr>
        <w:t xml:space="preserve"> (April 2014), online: </w:t>
      </w:r>
      <w:hyperlink r:id="rId48" w:history="1">
        <w:r w:rsidRPr="00C76226">
          <w:rPr>
            <w:rStyle w:val="Hyperlink"/>
            <w:rFonts w:ascii="Times New Roman" w:hAnsi="Times New Roman" w:cs="Times New Roman"/>
          </w:rPr>
          <w:t>https://dr6j45jk9xcmk.cloudfront.net/documents/4845/guidelines-to-iasr-english.pdf</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Pr>
          <w:rFonts w:ascii="Times New Roman" w:hAnsi="Times New Roman" w:cs="Times New Roman"/>
        </w:rPr>
        <w:t xml:space="preserve">Government of </w:t>
      </w:r>
      <w:r w:rsidRPr="00C76226">
        <w:rPr>
          <w:rFonts w:ascii="Times New Roman" w:hAnsi="Times New Roman" w:cs="Times New Roman"/>
        </w:rPr>
        <w:t xml:space="preserve">Ontario, Access Ontario, “Who do we benefit when we make Ontario accessible?”, online: </w:t>
      </w:r>
      <w:hyperlink r:id="rId49" w:history="1">
        <w:r w:rsidRPr="00C76226">
          <w:rPr>
            <w:rStyle w:val="Hyperlink"/>
            <w:rFonts w:ascii="Times New Roman" w:hAnsi="Times New Roman" w:cs="Times New Roman"/>
          </w:rPr>
          <w:t>https://www.youtube.com/watch?v=AfjaFWSNnZs</w:t>
        </w:r>
      </w:hyperlink>
      <w:r w:rsidRPr="00C76226">
        <w:rPr>
          <w:rFonts w:ascii="Times New Roman" w:hAnsi="Times New Roman" w:cs="Times New Roman"/>
        </w:rPr>
        <w:t>.</w:t>
      </w:r>
    </w:p>
    <w:p w:rsidR="00FA2231" w:rsidRPr="00C76226" w:rsidRDefault="00FA2231" w:rsidP="00FA2231">
      <w:pPr>
        <w:rPr>
          <w:rFonts w:ascii="Times New Roman" w:hAnsi="Times New Roman" w:cs="Times New Roman"/>
        </w:rPr>
      </w:pPr>
      <w:r w:rsidRPr="00C76226">
        <w:rPr>
          <w:rFonts w:ascii="Times New Roman" w:eastAsia="Times New Roman" w:hAnsi="Times New Roman" w:cs="Times New Roman"/>
        </w:rPr>
        <w:t xml:space="preserve">Government of Ontario, </w:t>
      </w:r>
      <w:r w:rsidRPr="00C76226">
        <w:rPr>
          <w:rFonts w:ascii="Times New Roman" w:hAnsi="Times New Roman" w:cs="Times New Roman"/>
        </w:rPr>
        <w:t>Compliance and Enforcement Branch of the Acces</w:t>
      </w:r>
      <w:r>
        <w:rPr>
          <w:rFonts w:ascii="Times New Roman" w:hAnsi="Times New Roman" w:cs="Times New Roman"/>
        </w:rPr>
        <w:t xml:space="preserve">sibility Directorate of Ontario. </w:t>
      </w:r>
      <w:r w:rsidRPr="00C76226">
        <w:rPr>
          <w:rFonts w:ascii="Times New Roman" w:hAnsi="Times New Roman" w:cs="Times New Roman"/>
        </w:rPr>
        <w:t xml:space="preserve"> </w:t>
      </w:r>
      <w:r w:rsidRPr="00C76226">
        <w:rPr>
          <w:rFonts w:ascii="Times New Roman" w:hAnsi="Times New Roman" w:cs="Times New Roman"/>
          <w:i/>
        </w:rPr>
        <w:t>A Guide to the Integrated Accessibility Standards Regulation</w:t>
      </w:r>
      <w:r w:rsidRPr="00C76226">
        <w:rPr>
          <w:rFonts w:ascii="Times New Roman" w:hAnsi="Times New Roman" w:cs="Times New Roman"/>
        </w:rPr>
        <w:t xml:space="preserve">, online:  </w:t>
      </w:r>
      <w:hyperlink r:id="rId50" w:history="1">
        <w:r w:rsidRPr="00C76226">
          <w:rPr>
            <w:rStyle w:val="Hyperlink"/>
            <w:rFonts w:ascii="Times New Roman" w:hAnsi="Times New Roman" w:cs="Times New Roman"/>
          </w:rPr>
          <w:t>https://dr6j45jk9xcmk.cloudfront.net/documents/4845/guidelines-to-iasr-english.pdf</w:t>
        </w:r>
      </w:hyperlink>
      <w:r w:rsidRPr="00C76226">
        <w:rPr>
          <w:rFonts w:ascii="Times New Roman" w:hAnsi="Times New Roman" w:cs="Times New Roman"/>
        </w:rPr>
        <w:t xml:space="preserve"> .</w:t>
      </w:r>
    </w:p>
    <w:p w:rsidR="00FA2231" w:rsidRPr="00C76226" w:rsidRDefault="00FA2231" w:rsidP="00FA2231">
      <w:pPr>
        <w:rPr>
          <w:rStyle w:val="Hyperlink"/>
          <w:rFonts w:ascii="Times New Roman" w:hAnsi="Times New Roman" w:cs="Times New Roman"/>
        </w:rPr>
      </w:pPr>
      <w:r w:rsidRPr="00C76226">
        <w:rPr>
          <w:rFonts w:ascii="Times New Roman" w:eastAsia="Times New Roman" w:hAnsi="Times New Roman" w:cs="Times New Roman"/>
        </w:rPr>
        <w:t xml:space="preserve">Government of Ontario, </w:t>
      </w:r>
      <w:r w:rsidRPr="00C76226">
        <w:rPr>
          <w:rFonts w:ascii="Times New Roman" w:hAnsi="Times New Roman" w:cs="Times New Roman"/>
        </w:rPr>
        <w:t>Compliance and Enforcement Branch of the Accessibility Directorate of Ontario</w:t>
      </w:r>
      <w:r>
        <w:rPr>
          <w:rFonts w:ascii="Times New Roman" w:hAnsi="Times New Roman" w:cs="Times New Roman"/>
        </w:rPr>
        <w:t>.</w:t>
      </w:r>
      <w:r w:rsidRPr="00C76226">
        <w:rPr>
          <w:rFonts w:ascii="Times New Roman" w:hAnsi="Times New Roman" w:cs="Times New Roman"/>
        </w:rPr>
        <w:t xml:space="preserve"> “Accessible workplaces”, online: </w:t>
      </w:r>
      <w:hyperlink r:id="rId51" w:history="1">
        <w:r w:rsidRPr="00C76226">
          <w:rPr>
            <w:rStyle w:val="Hyperlink"/>
            <w:rFonts w:ascii="Times New Roman" w:hAnsi="Times New Roman" w:cs="Times New Roman"/>
          </w:rPr>
          <w:t>https://www.ontario.ca/page/accessible-workplaces</w:t>
        </w:r>
      </w:hyperlink>
      <w:r w:rsidRPr="00C76226">
        <w:rPr>
          <w:rStyle w:val="Hyperlink"/>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Institute for Research and Development on Inclusion and Society</w:t>
      </w:r>
      <w:r>
        <w:rPr>
          <w:rFonts w:ascii="Times New Roman" w:hAnsi="Times New Roman" w:cs="Times New Roman"/>
        </w:rPr>
        <w:t>.</w:t>
      </w:r>
      <w:r w:rsidRPr="00C76226">
        <w:rPr>
          <w:rFonts w:ascii="Times New Roman" w:hAnsi="Times New Roman" w:cs="Times New Roman"/>
        </w:rPr>
        <w:t xml:space="preserve"> “Looking Into Poverty: Income Sources of Poor People with Disabilities in Canada”(2013), online: </w:t>
      </w:r>
      <w:hyperlink r:id="rId52" w:history="1">
        <w:r w:rsidRPr="00C76226">
          <w:rPr>
            <w:rStyle w:val="Hyperlink"/>
            <w:rFonts w:ascii="Times New Roman" w:hAnsi="Times New Roman" w:cs="Times New Roman"/>
          </w:rPr>
          <w:t>http://www.ccdonline.ca/en/socialpolicy/poverty-citizenship/demographic-profile/income-sources-of-poor-people-with-disabilities</w:t>
        </w:r>
      </w:hyperlink>
      <w:r w:rsidRPr="00C76226">
        <w:rPr>
          <w:rStyle w:val="Hyperlink"/>
          <w:rFonts w:ascii="Times New Roman" w:hAnsi="Times New Roman" w:cs="Times New Roman"/>
        </w:rPr>
        <w:t>.</w:t>
      </w:r>
    </w:p>
    <w:p w:rsidR="00FA2231" w:rsidRPr="00C76226" w:rsidRDefault="00FA2231" w:rsidP="00FA2231">
      <w:pPr>
        <w:rPr>
          <w:rFonts w:ascii="Times New Roman" w:hAnsi="Times New Roman" w:cs="Times New Roman"/>
        </w:rPr>
      </w:pPr>
      <w:r w:rsidRPr="00C76226">
        <w:rPr>
          <w:rFonts w:ascii="Times New Roman" w:hAnsi="Times New Roman" w:cs="Times New Roman"/>
        </w:rPr>
        <w:t>Institute for Research on Public Policy</w:t>
      </w:r>
      <w:r>
        <w:rPr>
          <w:rFonts w:ascii="Times New Roman" w:hAnsi="Times New Roman" w:cs="Times New Roman"/>
        </w:rPr>
        <w:t>.</w:t>
      </w:r>
      <w:r w:rsidRPr="00C76226">
        <w:rPr>
          <w:rFonts w:ascii="Times New Roman" w:hAnsi="Times New Roman" w:cs="Times New Roman"/>
        </w:rPr>
        <w:t xml:space="preserve"> </w:t>
      </w:r>
      <w:r w:rsidRPr="00C76226">
        <w:rPr>
          <w:rFonts w:ascii="Times New Roman" w:hAnsi="Times New Roman" w:cs="Times New Roman"/>
          <w:i/>
        </w:rPr>
        <w:t>Inclusive Employment for Canadians with Disabilities: Toward a New Policy Framework and Agenda</w:t>
      </w:r>
      <w:r w:rsidRPr="00C76226">
        <w:rPr>
          <w:rFonts w:ascii="Times New Roman" w:hAnsi="Times New Roman" w:cs="Times New Roman"/>
        </w:rPr>
        <w:t>,</w:t>
      </w:r>
      <w:r w:rsidRPr="00C76226">
        <w:rPr>
          <w:rFonts w:ascii="Times New Roman" w:hAnsi="Times New Roman" w:cs="Times New Roman"/>
          <w:i/>
        </w:rPr>
        <w:t xml:space="preserve"> </w:t>
      </w:r>
      <w:r w:rsidRPr="00C76226">
        <w:rPr>
          <w:rFonts w:ascii="Times New Roman" w:hAnsi="Times New Roman" w:cs="Times New Roman"/>
        </w:rPr>
        <w:t xml:space="preserve">Report by Michael J Prince (August, 2016), online:  </w:t>
      </w:r>
      <w:hyperlink r:id="rId53" w:history="1">
        <w:r w:rsidRPr="00C76226">
          <w:rPr>
            <w:rStyle w:val="Hyperlink"/>
            <w:rFonts w:ascii="Times New Roman" w:hAnsi="Times New Roman" w:cs="Times New Roman"/>
          </w:rPr>
          <w:t>http://irpp.org/research-studies/study-no60/</w:t>
        </w:r>
      </w:hyperlink>
      <w:r w:rsidRPr="00C76226">
        <w:rPr>
          <w:rFonts w:ascii="Times New Roman" w:hAnsi="Times New Roman" w:cs="Times New Roman"/>
        </w:rPr>
        <w:t xml:space="preserve">. </w:t>
      </w:r>
    </w:p>
    <w:p w:rsidR="00FA2231" w:rsidRDefault="00FA2231" w:rsidP="00FA2231">
      <w:pPr>
        <w:rPr>
          <w:rFonts w:ascii="Times New Roman" w:hAnsi="Times New Roman" w:cs="Times New Roman"/>
        </w:rPr>
      </w:pPr>
      <w:r w:rsidRPr="001331CB">
        <w:rPr>
          <w:rFonts w:ascii="Times New Roman" w:hAnsi="Times New Roman" w:cs="Times New Roman"/>
        </w:rPr>
        <w:t>Moran,</w:t>
      </w:r>
      <w:r w:rsidRPr="001331CB">
        <w:rPr>
          <w:rFonts w:ascii="Times New Roman" w:hAnsi="Times New Roman" w:cs="Times New Roman"/>
          <w:i/>
        </w:rPr>
        <w:t xml:space="preserve"> </w:t>
      </w:r>
      <w:r w:rsidRPr="001331CB">
        <w:rPr>
          <w:rFonts w:ascii="Times New Roman" w:hAnsi="Times New Roman" w:cs="Times New Roman"/>
        </w:rPr>
        <w:t>Mayo</w:t>
      </w:r>
      <w:r>
        <w:rPr>
          <w:rFonts w:ascii="Times New Roman" w:hAnsi="Times New Roman" w:cs="Times New Roman"/>
        </w:rPr>
        <w:t xml:space="preserve">. </w:t>
      </w:r>
      <w:r w:rsidRPr="001331CB">
        <w:rPr>
          <w:rFonts w:ascii="Times New Roman" w:hAnsi="Times New Roman" w:cs="Times New Roman"/>
        </w:rPr>
        <w:t xml:space="preserve"> </w:t>
      </w:r>
      <w:r w:rsidRPr="001331CB">
        <w:rPr>
          <w:rFonts w:ascii="Times New Roman" w:hAnsi="Times New Roman" w:cs="Times New Roman"/>
          <w:i/>
        </w:rPr>
        <w:t xml:space="preserve">Second Legislative Review of the </w:t>
      </w:r>
      <w:r w:rsidRPr="001331CB">
        <w:rPr>
          <w:rFonts w:ascii="Times New Roman" w:hAnsi="Times New Roman" w:cs="Times New Roman"/>
        </w:rPr>
        <w:t xml:space="preserve">Accessibility for Ontarians with Disabilities Act, 2005 (Release date: November, 2014) (online:  </w:t>
      </w:r>
      <w:hyperlink r:id="rId54" w:history="1">
        <w:r w:rsidRPr="001331CB">
          <w:rPr>
            <w:rStyle w:val="Hyperlink"/>
            <w:rFonts w:ascii="Times New Roman" w:hAnsi="Times New Roman" w:cs="Times New Roman"/>
          </w:rPr>
          <w:t>https://www.ontario.ca/document/legislative-review-accessibility-ontarians-disabilities-act</w:t>
        </w:r>
      </w:hyperlink>
      <w:r w:rsidRPr="001331CB">
        <w:rPr>
          <w:rFonts w:ascii="Times New Roman" w:hAnsi="Times New Roman" w:cs="Times New Roman"/>
        </w:rPr>
        <w:t xml:space="preserve"> )</w:t>
      </w:r>
    </w:p>
    <w:p w:rsidR="00FA2231" w:rsidRPr="00C76226" w:rsidRDefault="00FA2231" w:rsidP="00FA2231">
      <w:pPr>
        <w:rPr>
          <w:rStyle w:val="Hyperlink"/>
          <w:rFonts w:ascii="Times New Roman" w:hAnsi="Times New Roman" w:cs="Times New Roman"/>
        </w:rPr>
      </w:pPr>
      <w:r>
        <w:rPr>
          <w:rFonts w:ascii="Times New Roman" w:hAnsi="Times New Roman" w:cs="Times New Roman"/>
        </w:rPr>
        <w:t>Ontario Human Rights Commission.</w:t>
      </w:r>
      <w:r w:rsidRPr="00C76226">
        <w:rPr>
          <w:rFonts w:ascii="Times New Roman" w:hAnsi="Times New Roman" w:cs="Times New Roman"/>
        </w:rPr>
        <w:t xml:space="preserve"> “Working Together: The Code and the AODA”, online: </w:t>
      </w:r>
      <w:hyperlink r:id="rId55" w:history="1">
        <w:r w:rsidRPr="00C76226">
          <w:rPr>
            <w:rStyle w:val="Hyperlink"/>
            <w:rFonts w:ascii="Times New Roman" w:hAnsi="Times New Roman" w:cs="Times New Roman"/>
          </w:rPr>
          <w:t>http://www.ohrc.on.ca/en/learning/working-together-code-and-aoda</w:t>
        </w:r>
      </w:hyperlink>
      <w:r w:rsidRPr="00C76226">
        <w:rPr>
          <w:rStyle w:val="Hyperlink"/>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 xml:space="preserve">Statistics Canada, </w:t>
      </w:r>
      <w:r w:rsidRPr="00C76226">
        <w:rPr>
          <w:rFonts w:ascii="Times New Roman" w:hAnsi="Times New Roman" w:cs="Times New Roman"/>
          <w:i/>
        </w:rPr>
        <w:t>Low income among persons with a disability in Canada</w:t>
      </w:r>
      <w:r w:rsidRPr="00C76226">
        <w:rPr>
          <w:rFonts w:ascii="Times New Roman" w:hAnsi="Times New Roman" w:cs="Times New Roman"/>
        </w:rPr>
        <w:t xml:space="preserve">, Report by Katherine Wall (Release date: August 11, 2017), online:  </w:t>
      </w:r>
      <w:hyperlink r:id="rId56" w:history="1">
        <w:r w:rsidRPr="00C76226">
          <w:rPr>
            <w:rStyle w:val="Hyperlink"/>
            <w:rFonts w:ascii="Times New Roman" w:hAnsi="Times New Roman" w:cs="Times New Roman"/>
          </w:rPr>
          <w:t>http://www.statcan.gc.ca/pub/75-006-x/2017001/article/54854-eng.htm</w:t>
        </w:r>
      </w:hyperlink>
      <w:r w:rsidRPr="00C76226">
        <w:rPr>
          <w:rStyle w:val="Hyperlink"/>
          <w:rFonts w:ascii="Times New Roman" w:hAnsi="Times New Roman" w:cs="Times New Roman"/>
        </w:rPr>
        <w:t>.</w:t>
      </w:r>
    </w:p>
    <w:p w:rsidR="00FA2231" w:rsidRPr="00C76226" w:rsidRDefault="00FA2231" w:rsidP="00FA2231">
      <w:pPr>
        <w:rPr>
          <w:rFonts w:ascii="Times New Roman" w:hAnsi="Times New Roman" w:cs="Times New Roman"/>
        </w:rPr>
      </w:pPr>
      <w:r>
        <w:rPr>
          <w:rFonts w:ascii="Times New Roman" w:hAnsi="Times New Roman" w:cs="Times New Roman"/>
        </w:rPr>
        <w:t xml:space="preserve">UK </w:t>
      </w:r>
      <w:r w:rsidRPr="00C76226">
        <w:rPr>
          <w:rFonts w:ascii="Times New Roman" w:hAnsi="Times New Roman" w:cs="Times New Roman"/>
        </w:rPr>
        <w:t>Equality and Human Rights Commission</w:t>
      </w:r>
      <w:r>
        <w:rPr>
          <w:rFonts w:ascii="Times New Roman" w:hAnsi="Times New Roman" w:cs="Times New Roman"/>
        </w:rPr>
        <w:t>.</w:t>
      </w:r>
      <w:r w:rsidRPr="00C76226">
        <w:rPr>
          <w:rFonts w:ascii="Times New Roman" w:hAnsi="Times New Roman" w:cs="Times New Roman"/>
        </w:rPr>
        <w:t xml:space="preserve"> “Strategic litigation policy”, online: </w:t>
      </w:r>
      <w:hyperlink r:id="rId57" w:history="1">
        <w:r w:rsidRPr="00C76226">
          <w:rPr>
            <w:rStyle w:val="Hyperlink"/>
            <w:rFonts w:ascii="Times New Roman" w:hAnsi="Times New Roman" w:cs="Times New Roman"/>
          </w:rPr>
          <w:t>https://www.equalityhumanrights.com/en/legal-responses/strategic-litigation/strategic-litigation-policy</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Pr>
          <w:rFonts w:ascii="Times New Roman" w:hAnsi="Times New Roman" w:cs="Times New Roman"/>
        </w:rPr>
        <w:t>UK</w:t>
      </w:r>
      <w:r w:rsidRPr="00C76226">
        <w:rPr>
          <w:rFonts w:ascii="Times New Roman" w:hAnsi="Times New Roman" w:cs="Times New Roman"/>
        </w:rPr>
        <w:t xml:space="preserve"> Equality and Human Rights Commission</w:t>
      </w:r>
      <w:r>
        <w:rPr>
          <w:rFonts w:ascii="Times New Roman" w:hAnsi="Times New Roman" w:cs="Times New Roman"/>
        </w:rPr>
        <w:t>.</w:t>
      </w:r>
      <w:r w:rsidRPr="00C76226">
        <w:rPr>
          <w:rFonts w:ascii="Times New Roman" w:hAnsi="Times New Roman" w:cs="Times New Roman"/>
        </w:rPr>
        <w:t xml:space="preserve"> “Commission powers”, online: </w:t>
      </w:r>
      <w:hyperlink r:id="rId58" w:history="1">
        <w:r w:rsidRPr="00C76226">
          <w:rPr>
            <w:rStyle w:val="Hyperlink"/>
            <w:rFonts w:ascii="Times New Roman" w:hAnsi="Times New Roman" w:cs="Times New Roman"/>
          </w:rPr>
          <w:t>https://www.equalityhumanrights.com/en/court-action</w:t>
        </w:r>
      </w:hyperlink>
      <w:r w:rsidRPr="00C76226">
        <w:rPr>
          <w:rFonts w:ascii="Times New Roman" w:hAnsi="Times New Roman" w:cs="Times New Roman"/>
        </w:rPr>
        <w:t>.</w:t>
      </w:r>
    </w:p>
    <w:p w:rsidR="009D1A3E" w:rsidRPr="00C76226" w:rsidRDefault="009D1A3E" w:rsidP="009D1A3E">
      <w:pPr>
        <w:rPr>
          <w:rFonts w:ascii="Times New Roman" w:hAnsi="Times New Roman" w:cs="Times New Roman"/>
        </w:rPr>
      </w:pPr>
      <w:r>
        <w:rPr>
          <w:rFonts w:ascii="Times New Roman" w:hAnsi="Times New Roman" w:cs="Times New Roman"/>
        </w:rPr>
        <w:t>UK</w:t>
      </w:r>
      <w:r w:rsidRPr="00C76226">
        <w:rPr>
          <w:rFonts w:ascii="Times New Roman" w:hAnsi="Times New Roman" w:cs="Times New Roman"/>
        </w:rPr>
        <w:t xml:space="preserve"> Equality and Human Rights Commission</w:t>
      </w:r>
      <w:r>
        <w:rPr>
          <w:rFonts w:ascii="Times New Roman" w:hAnsi="Times New Roman" w:cs="Times New Roman"/>
        </w:rPr>
        <w:t>.</w:t>
      </w:r>
      <w:r w:rsidRPr="00C76226">
        <w:rPr>
          <w:rFonts w:ascii="Times New Roman" w:hAnsi="Times New Roman" w:cs="Times New Roman"/>
        </w:rPr>
        <w:t xml:space="preserve"> “Inquiries, investigations and wider powers”, online:   </w:t>
      </w:r>
      <w:hyperlink r:id="rId59" w:history="1">
        <w:r w:rsidRPr="00C76226">
          <w:rPr>
            <w:rStyle w:val="Hyperlink"/>
            <w:rFonts w:ascii="Times New Roman" w:hAnsi="Times New Roman" w:cs="Times New Roman"/>
          </w:rPr>
          <w:t>https://www.equalityhumanrights.com/en/our-powers/inquiries-investigations-and-wider-powers</w:t>
        </w:r>
      </w:hyperlink>
      <w:r w:rsidRPr="00C76226">
        <w:rPr>
          <w:rFonts w:ascii="Times New Roman" w:hAnsi="Times New Roman" w:cs="Times New Roman"/>
        </w:rPr>
        <w:t>.</w:t>
      </w:r>
    </w:p>
    <w:p w:rsidR="00FA2231" w:rsidRPr="00C76226" w:rsidRDefault="00FA2231" w:rsidP="00FA2231">
      <w:pPr>
        <w:rPr>
          <w:rFonts w:ascii="Times New Roman" w:hAnsi="Times New Roman" w:cs="Times New Roman"/>
        </w:rPr>
      </w:pPr>
      <w:r>
        <w:rPr>
          <w:rFonts w:ascii="Times New Roman" w:hAnsi="Times New Roman" w:cs="Times New Roman"/>
        </w:rPr>
        <w:t>UK</w:t>
      </w:r>
      <w:r w:rsidRPr="00C76226">
        <w:rPr>
          <w:rFonts w:ascii="Times New Roman" w:hAnsi="Times New Roman" w:cs="Times New Roman"/>
        </w:rPr>
        <w:t xml:space="preserve"> Equality and Human Rights Commission</w:t>
      </w:r>
      <w:r>
        <w:rPr>
          <w:rFonts w:ascii="Times New Roman" w:hAnsi="Times New Roman" w:cs="Times New Roman"/>
        </w:rPr>
        <w:t>.</w:t>
      </w:r>
      <w:r w:rsidRPr="00C76226">
        <w:rPr>
          <w:rFonts w:ascii="Times New Roman" w:hAnsi="Times New Roman" w:cs="Times New Roman"/>
        </w:rPr>
        <w:t xml:space="preserve"> “Legal Assistance”, online:  </w:t>
      </w:r>
      <w:hyperlink r:id="rId60" w:history="1">
        <w:r w:rsidRPr="00C76226">
          <w:rPr>
            <w:rStyle w:val="Hyperlink"/>
            <w:rFonts w:ascii="Times New Roman" w:hAnsi="Times New Roman" w:cs="Times New Roman"/>
          </w:rPr>
          <w:t>https://www.equalityhumanrights.com/en/court-action</w:t>
        </w:r>
      </w:hyperlink>
      <w:r w:rsidRPr="00C76226">
        <w:rPr>
          <w:rFonts w:ascii="Times New Roman" w:hAnsi="Times New Roman" w:cs="Times New Roman"/>
        </w:rPr>
        <w:t>.</w:t>
      </w:r>
    </w:p>
    <w:p w:rsidR="00FA2231" w:rsidRPr="00C76226" w:rsidRDefault="00FA2231" w:rsidP="00FA2231">
      <w:pPr>
        <w:rPr>
          <w:rFonts w:ascii="Times New Roman" w:hAnsi="Times New Roman" w:cs="Times New Roman"/>
        </w:rPr>
      </w:pPr>
      <w:r>
        <w:rPr>
          <w:rFonts w:ascii="Times New Roman" w:hAnsi="Times New Roman" w:cs="Times New Roman"/>
        </w:rPr>
        <w:t>UK</w:t>
      </w:r>
      <w:r w:rsidRPr="00C76226">
        <w:rPr>
          <w:rFonts w:ascii="Times New Roman" w:hAnsi="Times New Roman" w:cs="Times New Roman"/>
        </w:rPr>
        <w:t xml:space="preserve"> Equality and Human Rights Commission</w:t>
      </w:r>
      <w:r>
        <w:rPr>
          <w:rFonts w:ascii="Times New Roman" w:hAnsi="Times New Roman" w:cs="Times New Roman"/>
        </w:rPr>
        <w:t xml:space="preserve">. </w:t>
      </w:r>
      <w:r w:rsidRPr="00C76226">
        <w:rPr>
          <w:rFonts w:ascii="Times New Roman" w:hAnsi="Times New Roman" w:cs="Times New Roman"/>
        </w:rPr>
        <w:t xml:space="preserve"> </w:t>
      </w:r>
      <w:r w:rsidRPr="00C76226">
        <w:rPr>
          <w:rFonts w:ascii="Times New Roman" w:hAnsi="Times New Roman" w:cs="Times New Roman"/>
          <w:i/>
        </w:rPr>
        <w:t xml:space="preserve">Services, public functions and associations Statutory Code of Practice </w:t>
      </w:r>
      <w:r w:rsidRPr="00C76226">
        <w:rPr>
          <w:rFonts w:ascii="Times New Roman" w:hAnsi="Times New Roman" w:cs="Times New Roman"/>
        </w:rPr>
        <w:t xml:space="preserve">(2011), online:  </w:t>
      </w:r>
      <w:hyperlink r:id="rId61" w:history="1">
        <w:r w:rsidRPr="00C76226">
          <w:rPr>
            <w:rStyle w:val="Hyperlink"/>
            <w:rFonts w:ascii="Times New Roman" w:hAnsi="Times New Roman" w:cs="Times New Roman"/>
          </w:rPr>
          <w:t>https://www.equalityhumanrights.com/en/publication-download/services-public-functions-and-associations-statutory-code-practice</w:t>
        </w:r>
      </w:hyperlink>
      <w:r>
        <w:rPr>
          <w:rStyle w:val="Hyperlink"/>
          <w:rFonts w:ascii="Times New Roman" w:hAnsi="Times New Roman" w:cs="Times New Roman"/>
        </w:rPr>
        <w:t xml:space="preserve"> </w:t>
      </w:r>
      <w:r w:rsidRPr="00C76226">
        <w:rPr>
          <w:rStyle w:val="Hyperlink"/>
          <w:rFonts w:ascii="Times New Roman" w:hAnsi="Times New Roman" w:cs="Times New Roman"/>
        </w:rPr>
        <w:t>.</w:t>
      </w:r>
    </w:p>
    <w:p w:rsidR="00FA2231" w:rsidRPr="00C76226" w:rsidRDefault="00FA2231" w:rsidP="00FA2231">
      <w:pPr>
        <w:rPr>
          <w:rFonts w:ascii="Times New Roman" w:hAnsi="Times New Roman" w:cs="Times New Roman"/>
        </w:rPr>
      </w:pPr>
      <w:r w:rsidRPr="00C76226">
        <w:rPr>
          <w:rFonts w:ascii="Times New Roman" w:hAnsi="Times New Roman" w:cs="Times New Roman"/>
        </w:rPr>
        <w:t>UK Office of Rail and Road</w:t>
      </w:r>
      <w:r>
        <w:rPr>
          <w:rFonts w:ascii="Times New Roman" w:hAnsi="Times New Roman" w:cs="Times New Roman"/>
        </w:rPr>
        <w:t>.</w:t>
      </w:r>
      <w:r w:rsidRPr="00C76226">
        <w:rPr>
          <w:rFonts w:ascii="Times New Roman" w:hAnsi="Times New Roman" w:cs="Times New Roman"/>
        </w:rPr>
        <w:t xml:space="preserve"> “Health and safety investigation and enforcement powers”, online: </w:t>
      </w:r>
      <w:hyperlink r:id="rId62" w:history="1">
        <w:r w:rsidRPr="00C76226">
          <w:rPr>
            <w:rStyle w:val="Hyperlink"/>
            <w:rFonts w:ascii="Times New Roman" w:hAnsi="Times New Roman" w:cs="Times New Roman"/>
          </w:rPr>
          <w:t>http://orr.gov.uk/rail/health-and-safety/health-and-safety-enforcement</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United Nations Human Rights Office of the High Commissioner</w:t>
      </w:r>
      <w:r>
        <w:rPr>
          <w:rFonts w:ascii="Times New Roman" w:hAnsi="Times New Roman" w:cs="Times New Roman"/>
        </w:rPr>
        <w:t>.</w:t>
      </w:r>
      <w:r w:rsidRPr="00C76226">
        <w:rPr>
          <w:rFonts w:ascii="Times New Roman" w:hAnsi="Times New Roman" w:cs="Times New Roman"/>
        </w:rPr>
        <w:t xml:space="preserve"> "Draft General Comment on the right of persons with disabilities to equality and non-discrimination (article 5)”, online:  </w:t>
      </w:r>
      <w:hyperlink r:id="rId63" w:history="1">
        <w:r w:rsidRPr="00C76226">
          <w:rPr>
            <w:rStyle w:val="Hyperlink"/>
            <w:rFonts w:ascii="Times New Roman" w:hAnsi="Times New Roman" w:cs="Times New Roman"/>
          </w:rPr>
          <w:t>http://www.ohchr.org/EN/HRBodies/CRPD/Pages/CallPersonsDisabilitiesEqualityResponsability.aspx</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Pr>
          <w:rFonts w:ascii="Times New Roman" w:hAnsi="Times New Roman" w:cs="Times New Roman"/>
        </w:rPr>
        <w:t>United States Access Board.</w:t>
      </w:r>
      <w:r w:rsidRPr="00C76226">
        <w:rPr>
          <w:rFonts w:ascii="Times New Roman" w:hAnsi="Times New Roman" w:cs="Times New Roman"/>
        </w:rPr>
        <w:t xml:space="preserve"> “About the U.S. Access Board”, online: </w:t>
      </w:r>
      <w:hyperlink r:id="rId64" w:history="1">
        <w:r w:rsidRPr="00C76226">
          <w:rPr>
            <w:rStyle w:val="Hyperlink"/>
            <w:rFonts w:ascii="Times New Roman" w:hAnsi="Times New Roman" w:cs="Times New Roman"/>
          </w:rPr>
          <w:t>https://www.access-board.gov/the-board</w:t>
        </w:r>
      </w:hyperlink>
      <w:r w:rsidRPr="00C76226">
        <w:rPr>
          <w:rFonts w:ascii="Times New Roman" w:hAnsi="Times New Roman" w:cs="Times New Roman"/>
        </w:rPr>
        <w:t xml:space="preserve"> . </w:t>
      </w:r>
    </w:p>
    <w:p w:rsidR="00FA2231" w:rsidRPr="00C76226" w:rsidRDefault="00FA2231" w:rsidP="00FA2231">
      <w:pPr>
        <w:rPr>
          <w:rFonts w:ascii="Times New Roman" w:hAnsi="Times New Roman" w:cs="Times New Roman"/>
        </w:rPr>
      </w:pPr>
      <w:r w:rsidRPr="00C76226">
        <w:rPr>
          <w:rFonts w:ascii="Times New Roman" w:hAnsi="Times New Roman" w:cs="Times New Roman"/>
        </w:rPr>
        <w:t>United States Access Board</w:t>
      </w:r>
      <w:r>
        <w:rPr>
          <w:rFonts w:ascii="Times New Roman" w:hAnsi="Times New Roman" w:cs="Times New Roman"/>
        </w:rPr>
        <w:t>.</w:t>
      </w:r>
      <w:r w:rsidRPr="00C76226">
        <w:rPr>
          <w:rFonts w:ascii="Times New Roman" w:hAnsi="Times New Roman" w:cs="Times New Roman"/>
        </w:rPr>
        <w:t xml:space="preserve"> “Access Board Rulemaking”, online: </w:t>
      </w:r>
      <w:hyperlink r:id="rId65" w:history="1">
        <w:r w:rsidRPr="00C76226">
          <w:rPr>
            <w:rStyle w:val="Hyperlink"/>
            <w:rFonts w:ascii="Times New Roman" w:hAnsi="Times New Roman" w:cs="Times New Roman"/>
          </w:rPr>
          <w:t>https://www.access-board.gov/the-board/rulemaking</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United States Department of Jus</w:t>
      </w:r>
      <w:r w:rsidR="001130A0" w:rsidRPr="001130A0">
        <w:t xml:space="preserve"> </w:t>
      </w:r>
      <w:r w:rsidR="001130A0" w:rsidRPr="001130A0">
        <w:rPr>
          <w:rFonts w:ascii="Times New Roman" w:hAnsi="Times New Roman" w:cs="Times New Roman"/>
        </w:rPr>
        <w:t>https://www.legislation.gov.au/Details/C2017C00339</w:t>
      </w:r>
      <w:r w:rsidRPr="00C76226">
        <w:rPr>
          <w:rFonts w:ascii="Times New Roman" w:hAnsi="Times New Roman" w:cs="Times New Roman"/>
        </w:rPr>
        <w:t>tice, Civil Rights Division</w:t>
      </w:r>
      <w:r>
        <w:rPr>
          <w:rFonts w:ascii="Times New Roman" w:hAnsi="Times New Roman" w:cs="Times New Roman"/>
        </w:rPr>
        <w:t xml:space="preserve">. </w:t>
      </w:r>
      <w:r w:rsidRPr="00C76226">
        <w:rPr>
          <w:rFonts w:ascii="Times New Roman" w:hAnsi="Times New Roman" w:cs="Times New Roman"/>
        </w:rPr>
        <w:t xml:space="preserve"> “Department of Justice ADA Responsibilities: ADA Enforcement”, online: </w:t>
      </w:r>
      <w:hyperlink r:id="rId66" w:history="1">
        <w:r w:rsidRPr="00C76226">
          <w:rPr>
            <w:rStyle w:val="Hyperlink"/>
            <w:rFonts w:ascii="Times New Roman" w:hAnsi="Times New Roman" w:cs="Times New Roman"/>
          </w:rPr>
          <w:t>https://www.ada.gov/enforce_footer.htm</w:t>
        </w:r>
      </w:hyperlink>
      <w:r w:rsidRPr="00C76226">
        <w:rPr>
          <w:rFonts w:ascii="Times New Roman" w:hAnsi="Times New Roman" w:cs="Times New Roman"/>
        </w:rPr>
        <w:t xml:space="preserve">. </w:t>
      </w:r>
    </w:p>
    <w:p w:rsidR="00FA2231" w:rsidRDefault="00FA2231" w:rsidP="00FA2231">
      <w:pPr>
        <w:rPr>
          <w:rFonts w:ascii="Times New Roman" w:hAnsi="Times New Roman" w:cs="Times New Roman"/>
          <w:b/>
          <w:u w:val="single"/>
        </w:rPr>
      </w:pPr>
    </w:p>
    <w:p w:rsidR="00FA2231" w:rsidRPr="005F63D8" w:rsidRDefault="00FA2231" w:rsidP="00FA2231">
      <w:pPr>
        <w:rPr>
          <w:rFonts w:ascii="Times New Roman" w:hAnsi="Times New Roman" w:cs="Times New Roman"/>
          <w:b/>
          <w:u w:val="single"/>
        </w:rPr>
      </w:pPr>
      <w:r>
        <w:rPr>
          <w:rFonts w:ascii="Times New Roman" w:hAnsi="Times New Roman" w:cs="Times New Roman"/>
          <w:b/>
          <w:u w:val="single"/>
        </w:rPr>
        <w:t>Journal Articles</w:t>
      </w:r>
    </w:p>
    <w:p w:rsidR="00FA2231" w:rsidRPr="00C76226" w:rsidRDefault="00FA2231" w:rsidP="00FA2231">
      <w:pPr>
        <w:rPr>
          <w:rFonts w:ascii="Times New Roman" w:hAnsi="Times New Roman" w:cs="Times New Roman"/>
        </w:rPr>
      </w:pPr>
      <w:r w:rsidRPr="00C76226">
        <w:rPr>
          <w:rFonts w:ascii="Times New Roman" w:hAnsi="Times New Roman" w:cs="Times New Roman"/>
        </w:rPr>
        <w:t>Lepofsky, David</w:t>
      </w:r>
      <w:r>
        <w:rPr>
          <w:rFonts w:ascii="Times New Roman" w:hAnsi="Times New Roman" w:cs="Times New Roman"/>
        </w:rPr>
        <w:t>.</w:t>
      </w:r>
      <w:r w:rsidRPr="00C76226">
        <w:rPr>
          <w:rFonts w:ascii="Times New Roman" w:hAnsi="Times New Roman" w:cs="Times New Roman"/>
        </w:rPr>
        <w:t xml:space="preserve"> “The Long, Arduous Road to a Barrier-Free Ontario for People with Disabilities: The History of the</w:t>
      </w:r>
      <w:r w:rsidRPr="00C76226">
        <w:rPr>
          <w:rFonts w:ascii="Times New Roman" w:hAnsi="Times New Roman" w:cs="Times New Roman"/>
          <w:i/>
        </w:rPr>
        <w:t xml:space="preserve"> Ontarians with Disabilities Act </w:t>
      </w:r>
      <w:r w:rsidRPr="00C76226">
        <w:rPr>
          <w:rFonts w:ascii="Times New Roman" w:hAnsi="Times New Roman" w:cs="Times New Roman"/>
        </w:rPr>
        <w:t>-- The First Chapter” (2004) National Journal of Constitutional Law 125.</w:t>
      </w:r>
    </w:p>
    <w:p w:rsidR="00FA2231" w:rsidRPr="00C76226" w:rsidRDefault="00FA2231" w:rsidP="00FA2231">
      <w:pPr>
        <w:rPr>
          <w:rFonts w:ascii="Times New Roman" w:hAnsi="Times New Roman" w:cs="Times New Roman"/>
        </w:rPr>
      </w:pPr>
      <w:r w:rsidRPr="00C76226">
        <w:rPr>
          <w:rFonts w:ascii="Times New Roman" w:hAnsi="Times New Roman" w:cs="Times New Roman"/>
        </w:rPr>
        <w:t>Jacobs, Laverne</w:t>
      </w:r>
      <w:r>
        <w:rPr>
          <w:rFonts w:ascii="Times New Roman" w:hAnsi="Times New Roman" w:cs="Times New Roman"/>
        </w:rPr>
        <w:t xml:space="preserve">. </w:t>
      </w:r>
      <w:r w:rsidRPr="00C76226">
        <w:rPr>
          <w:rFonts w:ascii="Times New Roman" w:hAnsi="Times New Roman" w:cs="Times New Roman"/>
        </w:rPr>
        <w:t xml:space="preserve"> </w:t>
      </w:r>
      <w:r w:rsidRPr="00C76226">
        <w:rPr>
          <w:rFonts w:ascii="Times New Roman" w:hAnsi="Times New Roman" w:cs="Times New Roman"/>
          <w:lang w:val="en"/>
        </w:rPr>
        <w:t>"‘Humanizing’ Disability Law:  Citizen Participation in the Development of Accessibility Regulations in Canada"</w:t>
      </w:r>
      <w:r w:rsidRPr="00C76226">
        <w:rPr>
          <w:rFonts w:ascii="Times New Roman" w:hAnsi="Times New Roman" w:cs="Times New Roman"/>
        </w:rPr>
        <w:t xml:space="preserve"> (2016) </w:t>
      </w:r>
      <w:r w:rsidRPr="00C76226">
        <w:rPr>
          <w:rFonts w:ascii="Times New Roman" w:hAnsi="Times New Roman" w:cs="Times New Roman"/>
          <w:bCs/>
        </w:rPr>
        <w:t>Revue Internationale des Gouvernements Ouverts</w:t>
      </w:r>
      <w:r w:rsidRPr="00C76226">
        <w:rPr>
          <w:rFonts w:ascii="Times New Roman" w:hAnsi="Times New Roman" w:cs="Times New Roman"/>
        </w:rPr>
        <w:t xml:space="preserve"> 93, online:  </w:t>
      </w:r>
      <w:hyperlink r:id="rId67" w:history="1">
        <w:r w:rsidRPr="00C76226">
          <w:rPr>
            <w:rStyle w:val="Hyperlink"/>
            <w:rFonts w:ascii="Times New Roman" w:hAnsi="Times New Roman" w:cs="Times New Roman"/>
          </w:rPr>
          <w:t>http://ojs.imodev.org/index.php/RIGO/article/view/49</w:t>
        </w:r>
      </w:hyperlink>
      <w:r w:rsidRPr="00C76226">
        <w:rPr>
          <w:rFonts w:ascii="Times New Roman" w:hAnsi="Times New Roman" w:cs="Times New Roman"/>
        </w:rPr>
        <w:t xml:space="preserve">. </w:t>
      </w:r>
    </w:p>
    <w:p w:rsidR="00FA2231" w:rsidRPr="00C76226" w:rsidRDefault="00FA2231" w:rsidP="00FA2231">
      <w:pPr>
        <w:rPr>
          <w:rFonts w:ascii="Times New Roman" w:hAnsi="Times New Roman" w:cs="Times New Roman"/>
        </w:rPr>
      </w:pPr>
      <w:r w:rsidRPr="00C76226">
        <w:rPr>
          <w:rFonts w:ascii="Times New Roman" w:hAnsi="Times New Roman" w:cs="Times New Roman"/>
        </w:rPr>
        <w:t>Jacobs,</w:t>
      </w:r>
      <w:r>
        <w:rPr>
          <w:rFonts w:ascii="Times New Roman" w:hAnsi="Times New Roman" w:cs="Times New Roman"/>
        </w:rPr>
        <w:t xml:space="preserve"> </w:t>
      </w:r>
      <w:r w:rsidRPr="00C76226">
        <w:rPr>
          <w:rFonts w:ascii="Times New Roman" w:hAnsi="Times New Roman" w:cs="Times New Roman"/>
        </w:rPr>
        <w:t>Laverne</w:t>
      </w:r>
      <w:r>
        <w:rPr>
          <w:rFonts w:ascii="Times New Roman" w:hAnsi="Times New Roman" w:cs="Times New Roman"/>
        </w:rPr>
        <w:t>.</w:t>
      </w:r>
      <w:r w:rsidRPr="00C76226">
        <w:rPr>
          <w:rFonts w:ascii="Times New Roman" w:hAnsi="Times New Roman" w:cs="Times New Roman"/>
        </w:rPr>
        <w:t xml:space="preserve"> "The Universality of the Human Condition: Theorizing Transportation Inequality Claims by Persons with Disabilities in Canada, 1976-2016" (2018) Canadian Journal of Human Rights (forthcoming), online:  </w:t>
      </w:r>
      <w:hyperlink r:id="rId68" w:history="1">
        <w:r w:rsidRPr="00C76226">
          <w:rPr>
            <w:rStyle w:val="Hyperlink"/>
            <w:rFonts w:ascii="Times New Roman" w:hAnsi="Times New Roman" w:cs="Times New Roman"/>
          </w:rPr>
          <w:t>https://works.bepress.com/laverne-jacobs/4/</w:t>
        </w:r>
      </w:hyperlink>
      <w:r w:rsidRPr="00C76226">
        <w:rPr>
          <w:rFonts w:ascii="Times New Roman" w:hAnsi="Times New Roman" w:cs="Times New Roman"/>
        </w:rPr>
        <w:t xml:space="preserve">. </w:t>
      </w:r>
    </w:p>
    <w:p w:rsidR="00FA2231" w:rsidRPr="00256BDA" w:rsidRDefault="00FA2231" w:rsidP="00FA2231">
      <w:pPr>
        <w:rPr>
          <w:sz w:val="24"/>
          <w:szCs w:val="24"/>
        </w:rPr>
      </w:pPr>
      <w:r w:rsidRPr="00272100">
        <w:rPr>
          <w:rFonts w:ascii="Times New Roman" w:hAnsi="Times New Roman" w:cs="Times New Roman"/>
          <w:lang w:val="es-ES_tradnl"/>
        </w:rPr>
        <w:t xml:space="preserve">Jacobs, Laverne, Cino, Victoria &amp; DeCosta,  Britney.  </w:t>
      </w:r>
      <w:r w:rsidRPr="00272100">
        <w:rPr>
          <w:rFonts w:ascii="Times New Roman" w:hAnsi="Times New Roman" w:cs="Times New Roman"/>
        </w:rPr>
        <w:t xml:space="preserve">"The </w:t>
      </w:r>
      <w:r w:rsidRPr="00272100">
        <w:rPr>
          <w:rFonts w:ascii="Times New Roman" w:hAnsi="Times New Roman" w:cs="Times New Roman"/>
          <w:i/>
          <w:iCs/>
        </w:rPr>
        <w:t>Accessibility for Manitobans Act</w:t>
      </w:r>
      <w:r w:rsidRPr="00272100">
        <w:rPr>
          <w:rFonts w:ascii="Times New Roman" w:hAnsi="Times New Roman" w:cs="Times New Roman"/>
        </w:rPr>
        <w:t xml:space="preserve">: Ambitions and Achievements in Antidiscrimination and Citizen Participation”, (2016) 5 </w:t>
      </w:r>
      <w:r w:rsidRPr="00272100">
        <w:rPr>
          <w:rFonts w:ascii="Times New Roman" w:hAnsi="Times New Roman" w:cs="Times New Roman"/>
          <w:iCs/>
        </w:rPr>
        <w:t>Canadian Journal of Disability Studies</w:t>
      </w:r>
      <w:r w:rsidRPr="00272100">
        <w:rPr>
          <w:rFonts w:ascii="Times New Roman" w:hAnsi="Times New Roman" w:cs="Times New Roman"/>
        </w:rPr>
        <w:t xml:space="preserve"> 1, online:</w:t>
      </w:r>
      <w:r w:rsidRPr="00256BDA">
        <w:rPr>
          <w:rFonts w:ascii="Times New Roman" w:hAnsi="Times New Roman" w:cs="Times New Roman"/>
          <w:sz w:val="24"/>
          <w:szCs w:val="24"/>
        </w:rPr>
        <w:t xml:space="preserve"> </w:t>
      </w:r>
      <w:hyperlink r:id="rId69" w:history="1">
        <w:r w:rsidRPr="00256BDA">
          <w:rPr>
            <w:rStyle w:val="Hyperlink"/>
            <w:rFonts w:ascii="Times New Roman" w:hAnsi="Times New Roman" w:cs="Times New Roman"/>
          </w:rPr>
          <w:t>http://cjds.uwaterloo.ca/index.php/cjds/article/view/313</w:t>
        </w:r>
      </w:hyperlink>
      <w:r w:rsidRPr="00256BDA">
        <w:rPr>
          <w:sz w:val="24"/>
          <w:szCs w:val="24"/>
        </w:rPr>
        <w:t xml:space="preserve"> .</w:t>
      </w:r>
    </w:p>
    <w:p w:rsidR="00FA2231" w:rsidRDefault="00FA2231" w:rsidP="00FA2231">
      <w:pPr>
        <w:rPr>
          <w:rFonts w:ascii="Times New Roman" w:hAnsi="Times New Roman" w:cs="Times New Roman"/>
          <w:b/>
          <w:u w:val="single"/>
        </w:rPr>
      </w:pPr>
      <w:r>
        <w:rPr>
          <w:rFonts w:ascii="Times New Roman" w:hAnsi="Times New Roman" w:cs="Times New Roman"/>
          <w:b/>
          <w:u w:val="single"/>
        </w:rPr>
        <w:t>News Articles</w:t>
      </w:r>
    </w:p>
    <w:p w:rsidR="00FA2231" w:rsidRPr="00C76226" w:rsidRDefault="00FA2231" w:rsidP="00FA2231">
      <w:pPr>
        <w:rPr>
          <w:rFonts w:ascii="Times New Roman" w:eastAsia="Times New Roman" w:hAnsi="Times New Roman" w:cs="Times New Roman"/>
        </w:rPr>
      </w:pPr>
      <w:r w:rsidRPr="00C76226">
        <w:rPr>
          <w:rFonts w:ascii="Times New Roman" w:eastAsia="Times New Roman" w:hAnsi="Times New Roman" w:cs="Times New Roman"/>
        </w:rPr>
        <w:t>Monsebraaten</w:t>
      </w:r>
      <w:r>
        <w:rPr>
          <w:rFonts w:ascii="Times New Roman" w:eastAsia="Times New Roman" w:hAnsi="Times New Roman" w:cs="Times New Roman"/>
        </w:rPr>
        <w:t>,</w:t>
      </w:r>
      <w:r w:rsidRPr="00C76226">
        <w:rPr>
          <w:rFonts w:ascii="Times New Roman" w:eastAsia="Times New Roman" w:hAnsi="Times New Roman" w:cs="Times New Roman"/>
        </w:rPr>
        <w:t xml:space="preserve"> Laurie</w:t>
      </w:r>
      <w:r>
        <w:rPr>
          <w:rFonts w:ascii="Times New Roman" w:eastAsia="Times New Roman" w:hAnsi="Times New Roman" w:cs="Times New Roman"/>
        </w:rPr>
        <w:t>.</w:t>
      </w:r>
      <w:r w:rsidRPr="00C76226">
        <w:rPr>
          <w:rFonts w:ascii="Times New Roman" w:eastAsia="Times New Roman" w:hAnsi="Times New Roman" w:cs="Times New Roman"/>
        </w:rPr>
        <w:t xml:space="preserve"> “Ontario vows to enforce accessibility law: Businesses flout requirements to report on how they are meeting needs of customers with disabilities, while enforcement strategy lags” Toronto </w:t>
      </w:r>
      <w:r>
        <w:rPr>
          <w:rFonts w:ascii="Times New Roman" w:eastAsia="Times New Roman" w:hAnsi="Times New Roman" w:cs="Times New Roman"/>
        </w:rPr>
        <w:t>Star, February 20, 2014, o</w:t>
      </w:r>
      <w:r w:rsidRPr="00C76226">
        <w:rPr>
          <w:rFonts w:ascii="Times New Roman" w:eastAsia="Times New Roman" w:hAnsi="Times New Roman" w:cs="Times New Roman"/>
        </w:rPr>
        <w:t xml:space="preserve">nline:  </w:t>
      </w:r>
      <w:hyperlink r:id="rId70" w:tgtFrame="_blank" w:history="1">
        <w:r w:rsidRPr="00C76226">
          <w:rPr>
            <w:rStyle w:val="Hyperlink"/>
            <w:rFonts w:ascii="Times New Roman" w:eastAsia="Times New Roman" w:hAnsi="Times New Roman" w:cs="Times New Roman"/>
          </w:rPr>
          <w:t>https://www.thestar.com/news/gta/2014/02/20/ontario_vows_to_enforce_accessibility_law.html</w:t>
        </w:r>
      </w:hyperlink>
      <w:r w:rsidRPr="00C76226">
        <w:rPr>
          <w:rFonts w:ascii="Times New Roman" w:eastAsia="Times New Roman" w:hAnsi="Times New Roman" w:cs="Times New Roman"/>
        </w:rPr>
        <w:t xml:space="preserve">. </w:t>
      </w:r>
    </w:p>
    <w:p w:rsidR="00FA2231" w:rsidRPr="005F63D8" w:rsidRDefault="00FA2231" w:rsidP="00FA2231">
      <w:pPr>
        <w:rPr>
          <w:rFonts w:ascii="Times New Roman" w:hAnsi="Times New Roman" w:cs="Times New Roman"/>
          <w:b/>
          <w:u w:val="single"/>
        </w:rPr>
      </w:pPr>
    </w:p>
    <w:p w:rsidR="00FA2231" w:rsidRPr="00C76226" w:rsidRDefault="00FA2231" w:rsidP="00FA2231">
      <w:pPr>
        <w:rPr>
          <w:rFonts w:ascii="Times New Roman" w:hAnsi="Times New Roman" w:cs="Times New Roman"/>
          <w:b/>
        </w:rPr>
      </w:pPr>
    </w:p>
    <w:p w:rsidR="00FA2231" w:rsidRPr="0052572C" w:rsidRDefault="00FA2231" w:rsidP="00FA2231">
      <w:pPr>
        <w:jc w:val="center"/>
        <w:rPr>
          <w:rFonts w:ascii="Times New Roman" w:hAnsi="Times New Roman" w:cs="Times New Roman"/>
          <w:b/>
          <w:i/>
        </w:rPr>
      </w:pPr>
      <w:r w:rsidRPr="0052572C">
        <w:rPr>
          <w:rFonts w:ascii="Times New Roman" w:hAnsi="Times New Roman" w:cs="Times New Roman"/>
          <w:b/>
          <w:i/>
        </w:rPr>
        <w:t>Jurisprudence, Cases, Settlements, etc.</w:t>
      </w:r>
    </w:p>
    <w:p w:rsidR="00FA2231" w:rsidRDefault="00FA2231" w:rsidP="00FA2231">
      <w:pPr>
        <w:rPr>
          <w:rFonts w:ascii="Times New Roman" w:hAnsi="Times New Roman" w:cs="Times New Roman"/>
          <w:i/>
        </w:rPr>
      </w:pPr>
    </w:p>
    <w:p w:rsidR="00FA2231" w:rsidRPr="00976260" w:rsidRDefault="00FA2231" w:rsidP="00272100">
      <w:pPr>
        <w:spacing w:after="0"/>
        <w:rPr>
          <w:rFonts w:ascii="Times New Roman" w:hAnsi="Times New Roman" w:cs="Times New Roman"/>
          <w:b/>
          <w:u w:val="single"/>
        </w:rPr>
      </w:pPr>
      <w:r w:rsidRPr="00976260">
        <w:rPr>
          <w:rFonts w:ascii="Times New Roman" w:hAnsi="Times New Roman" w:cs="Times New Roman"/>
          <w:b/>
          <w:u w:val="single"/>
        </w:rPr>
        <w:t>Australia</w:t>
      </w:r>
    </w:p>
    <w:p w:rsidR="00FA2231" w:rsidRPr="00C76226" w:rsidRDefault="00FA2231" w:rsidP="00FA2231">
      <w:pPr>
        <w:rPr>
          <w:rFonts w:ascii="Times New Roman" w:hAnsi="Times New Roman" w:cs="Times New Roman"/>
        </w:rPr>
      </w:pPr>
      <w:r w:rsidRPr="00C76226">
        <w:rPr>
          <w:rFonts w:ascii="Times New Roman" w:hAnsi="Times New Roman" w:cs="Times New Roman"/>
          <w:i/>
        </w:rPr>
        <w:t>Brandy v Human Rights and Equal Opportunity Commission</w:t>
      </w:r>
      <w:r w:rsidRPr="00C76226">
        <w:rPr>
          <w:rFonts w:ascii="Times New Roman" w:hAnsi="Times New Roman" w:cs="Times New Roman"/>
        </w:rPr>
        <w:t xml:space="preserve"> (1995) 183 CLR 245. </w:t>
      </w:r>
    </w:p>
    <w:p w:rsidR="00FA2231" w:rsidRPr="00FA2231" w:rsidRDefault="00FA2231" w:rsidP="00FA2231">
      <w:pPr>
        <w:rPr>
          <w:rFonts w:ascii="Times New Roman" w:hAnsi="Times New Roman" w:cs="Times New Roman"/>
        </w:rPr>
      </w:pPr>
      <w:r w:rsidRPr="00FA2231">
        <w:rPr>
          <w:rFonts w:ascii="Times New Roman" w:hAnsi="Times New Roman" w:cs="Times New Roman"/>
          <w:i/>
        </w:rPr>
        <w:t>Haraksin v Murrays Australia Limited (No 2)</w:t>
      </w:r>
      <w:r w:rsidRPr="0047673F">
        <w:t xml:space="preserve"> </w:t>
      </w:r>
      <w:r w:rsidRPr="00FA2231">
        <w:rPr>
          <w:rFonts w:ascii="Times New Roman" w:hAnsi="Times New Roman" w:cs="Times New Roman"/>
        </w:rPr>
        <w:t>[2013] FCA 217.</w:t>
      </w:r>
    </w:p>
    <w:p w:rsidR="00FA2231" w:rsidRDefault="00FA2231" w:rsidP="00FA2231">
      <w:pPr>
        <w:rPr>
          <w:rFonts w:ascii="Times New Roman" w:hAnsi="Times New Roman" w:cs="Times New Roman"/>
        </w:rPr>
      </w:pPr>
      <w:r w:rsidRPr="003A19D9">
        <w:rPr>
          <w:rFonts w:ascii="Times New Roman" w:hAnsi="Times New Roman" w:cs="Times New Roman"/>
          <w:i/>
        </w:rPr>
        <w:t>Innes v Rail Corporation of NSW (No 2)</w:t>
      </w:r>
      <w:r w:rsidRPr="003A19D9">
        <w:rPr>
          <w:rFonts w:ascii="Times New Roman" w:hAnsi="Times New Roman" w:cs="Times New Roman"/>
        </w:rPr>
        <w:t>2013 FMCA 36</w:t>
      </w:r>
      <w:r>
        <w:rPr>
          <w:rFonts w:ascii="Times New Roman" w:hAnsi="Times New Roman" w:cs="Times New Roman"/>
        </w:rPr>
        <w:t>.</w:t>
      </w:r>
    </w:p>
    <w:p w:rsidR="00FA2231" w:rsidRPr="003A19D9" w:rsidRDefault="00FA2231" w:rsidP="00FA2231">
      <w:pPr>
        <w:rPr>
          <w:rFonts w:ascii="Times New Roman" w:hAnsi="Times New Roman" w:cs="Times New Roman"/>
        </w:rPr>
      </w:pPr>
    </w:p>
    <w:p w:rsidR="00FA2231" w:rsidRPr="003376BD" w:rsidRDefault="00FA2231" w:rsidP="00272100">
      <w:pPr>
        <w:spacing w:after="0"/>
        <w:rPr>
          <w:rFonts w:ascii="Times New Roman" w:hAnsi="Times New Roman" w:cs="Times New Roman"/>
          <w:b/>
          <w:u w:val="single"/>
        </w:rPr>
      </w:pPr>
      <w:r w:rsidRPr="003376BD">
        <w:rPr>
          <w:rFonts w:ascii="Times New Roman" w:hAnsi="Times New Roman" w:cs="Times New Roman"/>
          <w:b/>
          <w:u w:val="single"/>
        </w:rPr>
        <w:t>Canada</w:t>
      </w:r>
    </w:p>
    <w:p w:rsidR="00FA2231" w:rsidRDefault="00FA2231" w:rsidP="00FA2231">
      <w:pPr>
        <w:rPr>
          <w:rFonts w:ascii="Times New Roman" w:hAnsi="Times New Roman" w:cs="Times New Roman"/>
        </w:rPr>
      </w:pPr>
      <w:r w:rsidRPr="00C76226">
        <w:rPr>
          <w:rFonts w:ascii="Times New Roman" w:hAnsi="Times New Roman" w:cs="Times New Roman"/>
          <w:i/>
        </w:rPr>
        <w:t>Eldridge v British Columbia (Attorney General)</w:t>
      </w:r>
      <w:r w:rsidRPr="00C76226">
        <w:rPr>
          <w:rFonts w:ascii="Times New Roman" w:hAnsi="Times New Roman" w:cs="Times New Roman"/>
        </w:rPr>
        <w:t xml:space="preserve"> [1997] 3 SCR 624</w:t>
      </w:r>
      <w:r>
        <w:rPr>
          <w:rFonts w:ascii="Times New Roman" w:hAnsi="Times New Roman" w:cs="Times New Roman"/>
        </w:rPr>
        <w:t xml:space="preserve">. </w:t>
      </w:r>
    </w:p>
    <w:p w:rsidR="00FA2231" w:rsidRPr="00C76226" w:rsidRDefault="00FA2231" w:rsidP="00FA2231">
      <w:pPr>
        <w:rPr>
          <w:rStyle w:val="Hyperlink"/>
          <w:rFonts w:ascii="Times New Roman" w:hAnsi="Times New Roman" w:cs="Times New Roman"/>
        </w:rPr>
      </w:pPr>
      <w:r w:rsidRPr="00C76226">
        <w:rPr>
          <w:rFonts w:ascii="Times New Roman" w:hAnsi="Times New Roman" w:cs="Times New Roman"/>
          <w:i/>
        </w:rPr>
        <w:t>GNWT v Portman</w:t>
      </w:r>
      <w:r>
        <w:rPr>
          <w:rFonts w:ascii="Times New Roman" w:hAnsi="Times New Roman" w:cs="Times New Roman"/>
        </w:rPr>
        <w:t>, 2017 NWTSC 61 (CanLII).</w:t>
      </w:r>
    </w:p>
    <w:p w:rsidR="00FA2231" w:rsidRPr="00C76226" w:rsidRDefault="00FA2231" w:rsidP="00FA2231">
      <w:pPr>
        <w:rPr>
          <w:rStyle w:val="Hyperlink"/>
          <w:rFonts w:ascii="Times New Roman" w:hAnsi="Times New Roman" w:cs="Times New Roman"/>
        </w:rPr>
      </w:pPr>
      <w:r w:rsidRPr="00C76226">
        <w:rPr>
          <w:rFonts w:ascii="Times New Roman" w:hAnsi="Times New Roman" w:cs="Times New Roman"/>
          <w:i/>
        </w:rPr>
        <w:t>Portman v Northwest Territories (Department of Justice)</w:t>
      </w:r>
      <w:r>
        <w:rPr>
          <w:rFonts w:ascii="Times New Roman" w:hAnsi="Times New Roman" w:cs="Times New Roman"/>
        </w:rPr>
        <w:t>, 2016 CanLII 47992 (NT HRAP)</w:t>
      </w:r>
      <w:r w:rsidRPr="00C76226">
        <w:rPr>
          <w:rStyle w:val="Hyperlink"/>
          <w:rFonts w:ascii="Times New Roman" w:hAnsi="Times New Roman" w:cs="Times New Roman"/>
        </w:rPr>
        <w:t>.</w:t>
      </w:r>
    </w:p>
    <w:p w:rsidR="00FA2231" w:rsidRDefault="00FA2231" w:rsidP="00FA2231">
      <w:pPr>
        <w:rPr>
          <w:rFonts w:ascii="Times New Roman" w:hAnsi="Times New Roman" w:cs="Times New Roman"/>
          <w:b/>
          <w:u w:val="single"/>
        </w:rPr>
      </w:pPr>
    </w:p>
    <w:p w:rsidR="00FA2231" w:rsidRDefault="00FA2231" w:rsidP="001B3FD1">
      <w:pPr>
        <w:spacing w:after="0"/>
        <w:rPr>
          <w:rFonts w:ascii="Times New Roman" w:hAnsi="Times New Roman" w:cs="Times New Roman"/>
          <w:b/>
          <w:u w:val="single"/>
        </w:rPr>
      </w:pPr>
      <w:r>
        <w:rPr>
          <w:rFonts w:ascii="Times New Roman" w:hAnsi="Times New Roman" w:cs="Times New Roman"/>
          <w:b/>
          <w:u w:val="single"/>
        </w:rPr>
        <w:t xml:space="preserve">United Kingdom </w:t>
      </w:r>
    </w:p>
    <w:p w:rsidR="00FA2231" w:rsidRDefault="00FA2231" w:rsidP="00FA2231">
      <w:pPr>
        <w:rPr>
          <w:rFonts w:ascii="Times New Roman" w:hAnsi="Times New Roman" w:cs="Times New Roman"/>
        </w:rPr>
      </w:pPr>
      <w:r w:rsidRPr="0052572C">
        <w:rPr>
          <w:rFonts w:ascii="Times New Roman" w:hAnsi="Times New Roman" w:cs="Times New Roman"/>
          <w:i/>
        </w:rPr>
        <w:t>Roads v Central Trains Ltd</w:t>
      </w:r>
      <w:r w:rsidRPr="0052572C">
        <w:rPr>
          <w:rFonts w:ascii="Times New Roman" w:hAnsi="Times New Roman" w:cs="Times New Roman"/>
        </w:rPr>
        <w:t xml:space="preserve"> [2004] EWCA Civ 1541</w:t>
      </w:r>
    </w:p>
    <w:p w:rsidR="00FA2231" w:rsidRPr="0052572C" w:rsidRDefault="00FA2231" w:rsidP="00FA2231">
      <w:pPr>
        <w:rPr>
          <w:rFonts w:ascii="Times New Roman" w:hAnsi="Times New Roman" w:cs="Times New Roman"/>
        </w:rPr>
      </w:pPr>
      <w:r w:rsidRPr="0052572C">
        <w:rPr>
          <w:rFonts w:ascii="Times New Roman" w:hAnsi="Times New Roman" w:cs="Times New Roman"/>
          <w:i/>
        </w:rPr>
        <w:t xml:space="preserve"> Ross v Ryanair Limited and Stansted Airport Limited </w:t>
      </w:r>
      <w:r w:rsidRPr="0052572C">
        <w:rPr>
          <w:rFonts w:ascii="Times New Roman" w:hAnsi="Times New Roman" w:cs="Times New Roman"/>
        </w:rPr>
        <w:t>[2004] EWCA Civ 1751.</w:t>
      </w:r>
    </w:p>
    <w:p w:rsidR="00FA2231" w:rsidRDefault="00FA2231" w:rsidP="001B3FD1">
      <w:pPr>
        <w:spacing w:after="0"/>
        <w:rPr>
          <w:rFonts w:ascii="Times New Roman" w:hAnsi="Times New Roman" w:cs="Times New Roman"/>
          <w:b/>
          <w:u w:val="single"/>
        </w:rPr>
      </w:pPr>
      <w:r>
        <w:rPr>
          <w:rFonts w:ascii="Times New Roman" w:hAnsi="Times New Roman" w:cs="Times New Roman"/>
          <w:b/>
          <w:u w:val="single"/>
        </w:rPr>
        <w:t xml:space="preserve">United States </w:t>
      </w:r>
    </w:p>
    <w:p w:rsidR="00FA2231" w:rsidRPr="00C76226" w:rsidRDefault="00FA2231" w:rsidP="00FA2231">
      <w:pPr>
        <w:rPr>
          <w:rFonts w:ascii="Times New Roman" w:hAnsi="Times New Roman" w:cs="Times New Roman"/>
        </w:rPr>
      </w:pPr>
      <w:r w:rsidRPr="00C76226">
        <w:rPr>
          <w:rFonts w:ascii="Times New Roman" w:hAnsi="Times New Roman" w:cs="Times New Roman"/>
          <w:i/>
        </w:rPr>
        <w:t>Altamarea, LLC Settlement Agreement -- re: making goods and services at a restaurant available to people with disabilities</w:t>
      </w:r>
      <w:r w:rsidRPr="00C76226">
        <w:rPr>
          <w:rFonts w:ascii="Times New Roman" w:hAnsi="Times New Roman" w:cs="Times New Roman"/>
        </w:rPr>
        <w:t xml:space="preserve"> (8/19/15), online:  </w:t>
      </w:r>
      <w:hyperlink r:id="rId71" w:history="1">
        <w:r w:rsidRPr="00C76226">
          <w:rPr>
            <w:rStyle w:val="Hyperlink"/>
            <w:rFonts w:ascii="Times New Roman" w:hAnsi="Times New Roman" w:cs="Times New Roman"/>
          </w:rPr>
          <w:t>https://www.ada.gov/altamarea_sa.html</w:t>
        </w:r>
      </w:hyperlink>
      <w:r w:rsidRPr="00C76226">
        <w:rPr>
          <w:rStyle w:val="Hyperlink"/>
          <w:rFonts w:ascii="Times New Roman" w:hAnsi="Times New Roman" w:cs="Times New Roman"/>
        </w:rPr>
        <w:t>.</w:t>
      </w:r>
    </w:p>
    <w:p w:rsidR="00FA2231" w:rsidRPr="00C76226" w:rsidRDefault="00FA2231" w:rsidP="00FA2231">
      <w:pPr>
        <w:rPr>
          <w:rFonts w:ascii="Times New Roman" w:hAnsi="Times New Roman" w:cs="Times New Roman"/>
          <w:i/>
        </w:rPr>
      </w:pPr>
    </w:p>
    <w:p w:rsidR="008F6A70" w:rsidRDefault="008F6A70" w:rsidP="00FC5FD4">
      <w:pPr>
        <w:pStyle w:val="Heading1"/>
        <w:jc w:val="center"/>
      </w:pPr>
    </w:p>
    <w:p w:rsidR="008F6A70" w:rsidRDefault="008F6A70">
      <w:pPr>
        <w:rPr>
          <w:rFonts w:asciiTheme="majorHAnsi" w:eastAsiaTheme="majorEastAsia" w:hAnsiTheme="majorHAnsi" w:cstheme="majorBidi"/>
          <w:b/>
          <w:bCs/>
          <w:color w:val="365F91" w:themeColor="accent1" w:themeShade="BF"/>
          <w:sz w:val="28"/>
          <w:szCs w:val="28"/>
        </w:rPr>
      </w:pPr>
      <w:r>
        <w:br w:type="page"/>
      </w:r>
    </w:p>
    <w:p w:rsidR="00FC5FD4" w:rsidRDefault="00FC5FD4" w:rsidP="00FC5FD4">
      <w:pPr>
        <w:pStyle w:val="Heading1"/>
        <w:jc w:val="center"/>
      </w:pPr>
      <w:bookmarkStart w:id="22" w:name="_Toc505751508"/>
      <w:r>
        <w:t xml:space="preserve">Appendix A– </w:t>
      </w:r>
      <w:r w:rsidR="008F6A70">
        <w:t xml:space="preserve">Interview Questions and </w:t>
      </w:r>
      <w:r>
        <w:t>List of Interviewees</w:t>
      </w:r>
      <w:bookmarkEnd w:id="22"/>
    </w:p>
    <w:p w:rsidR="00FC5FD4" w:rsidRDefault="00FC5FD4" w:rsidP="00FC5FD4"/>
    <w:p w:rsidR="008F6A70" w:rsidRPr="008F5FD6" w:rsidRDefault="008F6A70" w:rsidP="001A1DA7">
      <w:pPr>
        <w:pStyle w:val="Heading2"/>
        <w:jc w:val="center"/>
      </w:pPr>
      <w:bookmarkStart w:id="23" w:name="_Toc505751509"/>
      <w:r w:rsidRPr="008F5FD6">
        <w:t>Interview Topic Guide</w:t>
      </w:r>
      <w:bookmarkEnd w:id="23"/>
    </w:p>
    <w:p w:rsidR="008F6A70" w:rsidRDefault="00352830" w:rsidP="008F6A70">
      <w:pPr>
        <w:jc w:val="center"/>
        <w:rPr>
          <w:b/>
        </w:rPr>
      </w:pPr>
      <w:r>
        <w:rPr>
          <w:b/>
        </w:rPr>
        <w:t xml:space="preserve"> The </w:t>
      </w:r>
      <w:r w:rsidR="008F6A70">
        <w:rPr>
          <w:b/>
        </w:rPr>
        <w:t>Interplay between Human Ri</w:t>
      </w:r>
      <w:r>
        <w:rPr>
          <w:b/>
        </w:rPr>
        <w:t>ghts Law and Accessibility Laws</w:t>
      </w:r>
    </w:p>
    <w:p w:rsidR="008F6A70" w:rsidRPr="008F5FD6" w:rsidRDefault="008F6A70" w:rsidP="008F6A70">
      <w:pPr>
        <w:jc w:val="both"/>
        <w:rPr>
          <w:i/>
        </w:rPr>
      </w:pPr>
      <w:r w:rsidRPr="00F63B57">
        <w:rPr>
          <w:i/>
        </w:rPr>
        <w:t>Interviews were conducted with past and current government officials who have worked closely on the administration and enforcement of accessibility standard legislation.</w:t>
      </w:r>
      <w:r>
        <w:rPr>
          <w:rStyle w:val="FootnoteReference"/>
          <w:i/>
        </w:rPr>
        <w:footnoteReference w:customMarkFollows="1" w:id="57"/>
        <w:t>*</w:t>
      </w:r>
      <w:r>
        <w:rPr>
          <w:i/>
        </w:rPr>
        <w:t xml:space="preserve"> Interviews were semi-structured, allowing for the participants to expand on their answers. Depending on the jurisdiction and the background information available, not every question needed to be explored in-depth with every interviewee. </w:t>
      </w:r>
    </w:p>
    <w:p w:rsidR="008F6A70" w:rsidRPr="008F5FD6" w:rsidRDefault="008F6A70" w:rsidP="008F6A70">
      <w:pPr>
        <w:pStyle w:val="ListParagraph"/>
        <w:numPr>
          <w:ilvl w:val="0"/>
          <w:numId w:val="35"/>
        </w:numPr>
      </w:pPr>
      <w:r w:rsidRPr="008F5FD6">
        <w:t xml:space="preserve">Questions relating to the implementation of the </w:t>
      </w:r>
      <w:r>
        <w:t>accessibility</w:t>
      </w:r>
      <w:r w:rsidRPr="008F5FD6">
        <w:t xml:space="preserve"> legislation.</w:t>
      </w:r>
    </w:p>
    <w:p w:rsidR="008F6A70" w:rsidRPr="008F5FD6" w:rsidRDefault="008F6A70" w:rsidP="008F6A70">
      <w:pPr>
        <w:pStyle w:val="ListParagraph"/>
        <w:numPr>
          <w:ilvl w:val="1"/>
          <w:numId w:val="35"/>
        </w:numPr>
      </w:pPr>
      <w:r w:rsidRPr="008F5FD6">
        <w:t>When was it enacted?</w:t>
      </w:r>
    </w:p>
    <w:p w:rsidR="008F6A70" w:rsidRPr="008F5FD6" w:rsidRDefault="008F6A70" w:rsidP="008F6A70">
      <w:pPr>
        <w:pStyle w:val="ListParagraph"/>
        <w:numPr>
          <w:ilvl w:val="1"/>
          <w:numId w:val="35"/>
        </w:numPr>
      </w:pPr>
      <w:r w:rsidRPr="008F5FD6">
        <w:t>What was the impetus for it to be enacted?</w:t>
      </w:r>
    </w:p>
    <w:p w:rsidR="008F6A70" w:rsidRPr="008F5FD6" w:rsidRDefault="008F6A70" w:rsidP="008F6A70">
      <w:pPr>
        <w:pStyle w:val="ListParagraph"/>
        <w:ind w:left="1440"/>
      </w:pPr>
    </w:p>
    <w:p w:rsidR="008F6A70" w:rsidRPr="008F5FD6" w:rsidRDefault="008F6A70" w:rsidP="008F6A70">
      <w:pPr>
        <w:pStyle w:val="ListParagraph"/>
        <w:numPr>
          <w:ilvl w:val="0"/>
          <w:numId w:val="35"/>
        </w:numPr>
      </w:pPr>
      <w:r w:rsidRPr="008F5FD6">
        <w:t xml:space="preserve">Questions relating to the interviewee’s role in the implementation of the </w:t>
      </w:r>
      <w:r>
        <w:t>accessibility</w:t>
      </w:r>
      <w:r w:rsidRPr="008F5FD6">
        <w:t xml:space="preserve"> legislation.</w:t>
      </w:r>
    </w:p>
    <w:p w:rsidR="008F6A70" w:rsidRPr="008F5FD6" w:rsidRDefault="008F6A70" w:rsidP="008F6A70">
      <w:pPr>
        <w:pStyle w:val="ListParagraph"/>
        <w:numPr>
          <w:ilvl w:val="1"/>
          <w:numId w:val="35"/>
        </w:numPr>
      </w:pPr>
      <w:r w:rsidRPr="008F5FD6">
        <w:t>How were you involved in its enactment? (Or if it is currently being enacted question should be in present tense-how are you involved in its enactment?)</w:t>
      </w:r>
    </w:p>
    <w:p w:rsidR="008F6A70" w:rsidRPr="008F5FD6" w:rsidRDefault="008F6A70" w:rsidP="008F6A70">
      <w:pPr>
        <w:pStyle w:val="ListParagraph"/>
        <w:numPr>
          <w:ilvl w:val="2"/>
          <w:numId w:val="35"/>
        </w:numPr>
      </w:pPr>
      <w:r w:rsidRPr="008F5FD6">
        <w:t>what was your job title at the time of your work on the enactment of the accessibility legislation? (Or question to be posed in present tense if applicable)</w:t>
      </w:r>
    </w:p>
    <w:p w:rsidR="008F6A70" w:rsidRPr="008F5FD6" w:rsidRDefault="008F6A70" w:rsidP="008F6A70">
      <w:pPr>
        <w:pStyle w:val="ListParagraph"/>
        <w:numPr>
          <w:ilvl w:val="2"/>
          <w:numId w:val="35"/>
        </w:numPr>
      </w:pPr>
      <w:r w:rsidRPr="008F5FD6">
        <w:t>how long did you work in this position? (Or question to be posed in present tense if applicable)</w:t>
      </w:r>
    </w:p>
    <w:p w:rsidR="008F6A70" w:rsidRPr="008F5FD6" w:rsidRDefault="008F6A70" w:rsidP="008F6A70">
      <w:pPr>
        <w:pStyle w:val="ListParagraph"/>
        <w:numPr>
          <w:ilvl w:val="2"/>
          <w:numId w:val="35"/>
        </w:numPr>
      </w:pPr>
      <w:r w:rsidRPr="008F5FD6">
        <w:t>what was the nature of your duties? (Or question to be posed in present tense if applicable)</w:t>
      </w:r>
    </w:p>
    <w:p w:rsidR="008F6A70" w:rsidRPr="008F5FD6" w:rsidRDefault="008F6A70" w:rsidP="008F6A70">
      <w:pPr>
        <w:pStyle w:val="ListParagraph"/>
        <w:numPr>
          <w:ilvl w:val="2"/>
          <w:numId w:val="35"/>
        </w:numPr>
      </w:pPr>
      <w:r w:rsidRPr="008F5FD6">
        <w:t>who (i.e. what position or job title) did/do you report to?</w:t>
      </w:r>
    </w:p>
    <w:p w:rsidR="008F6A70" w:rsidRPr="008F5FD6" w:rsidRDefault="008F6A70" w:rsidP="008F6A70">
      <w:pPr>
        <w:pStyle w:val="ListParagraph"/>
        <w:ind w:left="2160"/>
      </w:pPr>
    </w:p>
    <w:p w:rsidR="008F6A70" w:rsidRPr="008F5FD6" w:rsidRDefault="008F6A70" w:rsidP="008F6A70">
      <w:pPr>
        <w:pStyle w:val="ListParagraph"/>
        <w:numPr>
          <w:ilvl w:val="0"/>
          <w:numId w:val="35"/>
        </w:numPr>
      </w:pPr>
      <w:r w:rsidRPr="008F5FD6">
        <w:t>In what ways does the accessibility legislation interact with human rights legislation?</w:t>
      </w:r>
    </w:p>
    <w:p w:rsidR="008F6A70" w:rsidRPr="008F5FD6" w:rsidRDefault="008F6A70" w:rsidP="008F6A70">
      <w:pPr>
        <w:pStyle w:val="ListParagraph"/>
        <w:numPr>
          <w:ilvl w:val="1"/>
          <w:numId w:val="35"/>
        </w:numPr>
      </w:pPr>
      <w:r w:rsidRPr="008F5FD6">
        <w:t>Interaction between the accessibility legislation and human rights legislation at the regional (e.g. municipal, state, provincial, etc) level?</w:t>
      </w:r>
    </w:p>
    <w:p w:rsidR="008F6A70" w:rsidRPr="008F5FD6" w:rsidRDefault="008F6A70" w:rsidP="008F6A70">
      <w:pPr>
        <w:pStyle w:val="ListParagraph"/>
        <w:numPr>
          <w:ilvl w:val="1"/>
          <w:numId w:val="35"/>
        </w:numPr>
      </w:pPr>
      <w:r w:rsidRPr="008F5FD6">
        <w:t>Interaction between the accessibility legislation and human rights legislation at the national level?</w:t>
      </w:r>
    </w:p>
    <w:p w:rsidR="008F6A70" w:rsidRPr="008F5FD6" w:rsidRDefault="008F6A70" w:rsidP="008F6A70">
      <w:pPr>
        <w:pStyle w:val="ListParagraph"/>
        <w:numPr>
          <w:ilvl w:val="1"/>
          <w:numId w:val="35"/>
        </w:numPr>
      </w:pPr>
      <w:r w:rsidRPr="008F5FD6">
        <w:t>Interaction between accessibility legislation and human rights legislation at the international level (i.e. bringing in the CRPD or any other international treaties that affect disability)</w:t>
      </w:r>
    </w:p>
    <w:p w:rsidR="008F6A70" w:rsidRPr="008F5FD6" w:rsidRDefault="008F6A70" w:rsidP="008F6A70">
      <w:pPr>
        <w:pStyle w:val="ListParagraph"/>
        <w:numPr>
          <w:ilvl w:val="1"/>
          <w:numId w:val="35"/>
        </w:numPr>
      </w:pPr>
      <w:r w:rsidRPr="008F5FD6">
        <w:t xml:space="preserve">In cases where there was interaction between the two laws, which law took precedent? </w:t>
      </w:r>
    </w:p>
    <w:p w:rsidR="008F6A70" w:rsidRPr="008F5FD6" w:rsidRDefault="008F6A70" w:rsidP="008F6A70">
      <w:pPr>
        <w:pStyle w:val="ListParagraph"/>
        <w:numPr>
          <w:ilvl w:val="1"/>
          <w:numId w:val="35"/>
        </w:numPr>
      </w:pPr>
      <w:r w:rsidRPr="008F5FD6">
        <w:t>Was the fact of either law taking precedent in keeping with the principles set out in the law itself?</w:t>
      </w:r>
    </w:p>
    <w:p w:rsidR="008F6A70" w:rsidRPr="008F5FD6" w:rsidRDefault="008F6A70" w:rsidP="008F6A70">
      <w:pPr>
        <w:pStyle w:val="ListParagraph"/>
        <w:numPr>
          <w:ilvl w:val="1"/>
          <w:numId w:val="35"/>
        </w:numPr>
      </w:pPr>
      <w:r w:rsidRPr="008F5FD6">
        <w:t xml:space="preserve">Was the government ever involved in promoting one law over another? </w:t>
      </w:r>
    </w:p>
    <w:p w:rsidR="008F6A70" w:rsidRPr="008F5FD6" w:rsidRDefault="008F6A70" w:rsidP="008F6A70">
      <w:pPr>
        <w:pStyle w:val="ListParagraph"/>
        <w:numPr>
          <w:ilvl w:val="2"/>
          <w:numId w:val="35"/>
        </w:numPr>
      </w:pPr>
      <w:r w:rsidRPr="008F5FD6">
        <w:t xml:space="preserve">If so, </w:t>
      </w:r>
    </w:p>
    <w:p w:rsidR="008F6A70" w:rsidRPr="008F5FD6" w:rsidRDefault="008F6A70" w:rsidP="008F6A70">
      <w:pPr>
        <w:pStyle w:val="ListParagraph"/>
        <w:numPr>
          <w:ilvl w:val="3"/>
          <w:numId w:val="35"/>
        </w:numPr>
      </w:pPr>
      <w:r w:rsidRPr="008F5FD6">
        <w:t>why did it do so?</w:t>
      </w:r>
    </w:p>
    <w:p w:rsidR="008F6A70" w:rsidRPr="008F5FD6" w:rsidRDefault="008F6A70" w:rsidP="008F6A70">
      <w:pPr>
        <w:pStyle w:val="ListParagraph"/>
        <w:numPr>
          <w:ilvl w:val="3"/>
          <w:numId w:val="35"/>
        </w:numPr>
      </w:pPr>
      <w:r w:rsidRPr="008F5FD6">
        <w:t>how did it do so?</w:t>
      </w:r>
    </w:p>
    <w:p w:rsidR="008F6A70" w:rsidRPr="008F5FD6" w:rsidRDefault="008F6A70" w:rsidP="008F6A70">
      <w:pPr>
        <w:pStyle w:val="ListParagraph"/>
        <w:numPr>
          <w:ilvl w:val="2"/>
          <w:numId w:val="35"/>
        </w:numPr>
      </w:pPr>
      <w:r w:rsidRPr="008F5FD6">
        <w:t xml:space="preserve">If not, </w:t>
      </w:r>
    </w:p>
    <w:p w:rsidR="008F6A70" w:rsidRPr="008F5FD6" w:rsidRDefault="008F6A70" w:rsidP="008F6A70">
      <w:pPr>
        <w:pStyle w:val="ListParagraph"/>
        <w:numPr>
          <w:ilvl w:val="3"/>
          <w:numId w:val="35"/>
        </w:numPr>
      </w:pPr>
      <w:r w:rsidRPr="008F5FD6">
        <w:t>why did it not do so?</w:t>
      </w:r>
    </w:p>
    <w:p w:rsidR="008F6A70" w:rsidRPr="008F5FD6" w:rsidRDefault="008F6A70" w:rsidP="008F6A70"/>
    <w:p w:rsidR="008F6A70" w:rsidRPr="008F5FD6" w:rsidRDefault="008F6A70" w:rsidP="008F6A70">
      <w:pPr>
        <w:pStyle w:val="ListParagraph"/>
        <w:numPr>
          <w:ilvl w:val="0"/>
          <w:numId w:val="35"/>
        </w:numPr>
        <w:jc w:val="both"/>
      </w:pPr>
      <w:r w:rsidRPr="008F5FD6">
        <w:t>Questions relating to the interaction between the accessibility legislation and human rights legislation in specific aspects of governance. In what ways did the accessibility legislation interact with human rights legislation, or more specifically, did one law take precedence over the other with respect to:</w:t>
      </w:r>
    </w:p>
    <w:p w:rsidR="008F6A70" w:rsidRPr="00B87836" w:rsidRDefault="008F6A70" w:rsidP="008F6A70">
      <w:pPr>
        <w:numPr>
          <w:ilvl w:val="1"/>
          <w:numId w:val="35"/>
        </w:numPr>
        <w:spacing w:after="0" w:line="360" w:lineRule="auto"/>
        <w:rPr>
          <w:rFonts w:cstheme="minorHAnsi"/>
          <w:lang w:val="en-US"/>
        </w:rPr>
      </w:pPr>
      <w:r w:rsidRPr="00B87836">
        <w:rPr>
          <w:rFonts w:cstheme="minorHAnsi"/>
          <w:i/>
          <w:lang w:val="en-US"/>
        </w:rPr>
        <w:t>public education on accessibility matters, raising awareness of accessibility issues, and promoting systemic culture change;</w:t>
      </w:r>
    </w:p>
    <w:p w:rsidR="008F6A70" w:rsidRPr="00B87836" w:rsidRDefault="008F6A70" w:rsidP="008F6A70">
      <w:pPr>
        <w:numPr>
          <w:ilvl w:val="1"/>
          <w:numId w:val="35"/>
        </w:numPr>
        <w:spacing w:after="0" w:line="360" w:lineRule="auto"/>
        <w:rPr>
          <w:rFonts w:cstheme="minorHAnsi"/>
          <w:i/>
          <w:lang w:val="en-US"/>
        </w:rPr>
      </w:pPr>
      <w:r w:rsidRPr="00B87836">
        <w:rPr>
          <w:rFonts w:cstheme="minorHAnsi"/>
          <w:i/>
          <w:lang w:val="en-US"/>
        </w:rPr>
        <w:t xml:space="preserve">In the resolution of complaints regarding accessibility? </w:t>
      </w:r>
    </w:p>
    <w:p w:rsidR="008F6A70" w:rsidRPr="00B87836" w:rsidRDefault="008F6A70" w:rsidP="008F6A70">
      <w:pPr>
        <w:numPr>
          <w:ilvl w:val="1"/>
          <w:numId w:val="35"/>
        </w:numPr>
        <w:spacing w:after="0" w:line="360" w:lineRule="auto"/>
        <w:rPr>
          <w:rFonts w:cstheme="minorHAnsi"/>
          <w:i/>
          <w:lang w:val="en-US"/>
        </w:rPr>
      </w:pPr>
      <w:r w:rsidRPr="00B87836">
        <w:rPr>
          <w:rFonts w:cstheme="minorHAnsi"/>
          <w:i/>
          <w:lang w:val="en-US"/>
        </w:rPr>
        <w:t xml:space="preserve">In complaint/dispute resolution processes; </w:t>
      </w:r>
    </w:p>
    <w:p w:rsidR="008F6A70" w:rsidRPr="00B87836" w:rsidRDefault="008F6A70" w:rsidP="008F6A70">
      <w:pPr>
        <w:numPr>
          <w:ilvl w:val="1"/>
          <w:numId w:val="35"/>
        </w:numPr>
        <w:spacing w:after="0" w:line="360" w:lineRule="auto"/>
        <w:rPr>
          <w:rFonts w:cstheme="minorHAnsi"/>
          <w:lang w:val="en-US"/>
        </w:rPr>
      </w:pPr>
      <w:r w:rsidRPr="00B87836">
        <w:rPr>
          <w:rFonts w:cstheme="minorHAnsi"/>
          <w:i/>
          <w:lang w:val="en-US"/>
        </w:rPr>
        <w:t>compliance and enforcement;</w:t>
      </w:r>
    </w:p>
    <w:p w:rsidR="008F6A70" w:rsidRPr="00B87836" w:rsidRDefault="008F6A70" w:rsidP="008F6A70">
      <w:pPr>
        <w:numPr>
          <w:ilvl w:val="2"/>
          <w:numId w:val="35"/>
        </w:numPr>
        <w:spacing w:after="0" w:line="360" w:lineRule="auto"/>
        <w:rPr>
          <w:rFonts w:cstheme="minorHAnsi"/>
          <w:i/>
          <w:lang w:val="en-US"/>
        </w:rPr>
      </w:pPr>
      <w:r w:rsidRPr="00B87836">
        <w:rPr>
          <w:rFonts w:cstheme="minorHAnsi"/>
          <w:i/>
          <w:lang w:val="en-US"/>
        </w:rPr>
        <w:t>of the law;</w:t>
      </w:r>
    </w:p>
    <w:p w:rsidR="008F6A70" w:rsidRPr="00B87836" w:rsidRDefault="008F6A70" w:rsidP="008F6A70">
      <w:pPr>
        <w:numPr>
          <w:ilvl w:val="2"/>
          <w:numId w:val="35"/>
        </w:numPr>
        <w:spacing w:after="0" w:line="360" w:lineRule="auto"/>
        <w:rPr>
          <w:rFonts w:cstheme="minorHAnsi"/>
          <w:i/>
          <w:lang w:val="en-US"/>
        </w:rPr>
      </w:pPr>
      <w:r w:rsidRPr="00B87836">
        <w:rPr>
          <w:rFonts w:cstheme="minorHAnsi"/>
          <w:i/>
          <w:lang w:val="en-US"/>
        </w:rPr>
        <w:t>of decisions made by an investigative and/or oversight authority;</w:t>
      </w:r>
    </w:p>
    <w:p w:rsidR="008F6A70" w:rsidRPr="00B87836" w:rsidRDefault="008F6A70" w:rsidP="008F6A70">
      <w:pPr>
        <w:numPr>
          <w:ilvl w:val="2"/>
          <w:numId w:val="35"/>
        </w:numPr>
        <w:spacing w:after="0" w:line="360" w:lineRule="auto"/>
        <w:rPr>
          <w:rFonts w:cstheme="minorHAnsi"/>
          <w:i/>
          <w:lang w:val="en-US"/>
        </w:rPr>
      </w:pPr>
      <w:r w:rsidRPr="00B87836">
        <w:rPr>
          <w:rFonts w:cstheme="minorHAnsi"/>
          <w:i/>
          <w:lang w:val="en-US"/>
        </w:rPr>
        <w:t xml:space="preserve">mechanisms to monitor actions and report on adherence to the law(s); </w:t>
      </w:r>
    </w:p>
    <w:p w:rsidR="008F6A70" w:rsidRPr="00B87836" w:rsidRDefault="008F6A70" w:rsidP="008F6A70">
      <w:pPr>
        <w:numPr>
          <w:ilvl w:val="1"/>
          <w:numId w:val="35"/>
        </w:numPr>
        <w:spacing w:after="0" w:line="360" w:lineRule="auto"/>
        <w:rPr>
          <w:rFonts w:cstheme="minorHAnsi"/>
          <w:i/>
          <w:lang w:val="en-US"/>
        </w:rPr>
      </w:pPr>
      <w:r w:rsidRPr="00B87836">
        <w:rPr>
          <w:rFonts w:cstheme="minorHAnsi"/>
          <w:i/>
          <w:lang w:val="en-US"/>
        </w:rPr>
        <w:t>Governance and government machinery, including potential overlap and rationale for the precedence of a specific law</w:t>
      </w:r>
    </w:p>
    <w:p w:rsidR="008F6A70" w:rsidRPr="00B87836" w:rsidRDefault="008F6A70" w:rsidP="008F6A70">
      <w:pPr>
        <w:spacing w:after="0" w:line="360" w:lineRule="auto"/>
        <w:rPr>
          <w:rFonts w:cstheme="minorHAnsi"/>
          <w:b/>
          <w:lang w:val="en-US"/>
        </w:rPr>
      </w:pPr>
      <w:r w:rsidRPr="00B87836">
        <w:rPr>
          <w:rFonts w:cstheme="minorHAnsi"/>
          <w:b/>
          <w:lang w:val="en-US"/>
        </w:rPr>
        <w:t>For each of the questions</w:t>
      </w:r>
      <w:r>
        <w:rPr>
          <w:rFonts w:cstheme="minorHAnsi"/>
          <w:b/>
          <w:lang w:val="en-US"/>
        </w:rPr>
        <w:t xml:space="preserve"> in this section</w:t>
      </w:r>
      <w:r w:rsidRPr="00B87836">
        <w:rPr>
          <w:rFonts w:cstheme="minorHAnsi"/>
          <w:b/>
          <w:lang w:val="en-US"/>
        </w:rPr>
        <w:t>, the following was asked, if necessary:</w:t>
      </w:r>
    </w:p>
    <w:p w:rsidR="008F6A70" w:rsidRPr="00B87836" w:rsidRDefault="008F6A70" w:rsidP="008F6A70">
      <w:pPr>
        <w:spacing w:after="0" w:line="360" w:lineRule="auto"/>
        <w:ind w:left="2160"/>
        <w:rPr>
          <w:rFonts w:cstheme="minorHAnsi"/>
          <w:lang w:val="en-US"/>
        </w:rPr>
      </w:pPr>
      <w:r w:rsidRPr="00B87836">
        <w:rPr>
          <w:rFonts w:cstheme="minorHAnsi"/>
          <w:lang w:val="en-US"/>
        </w:rPr>
        <w:t>i.</w:t>
      </w:r>
      <w:r w:rsidRPr="00B87836">
        <w:rPr>
          <w:rFonts w:cstheme="minorHAnsi"/>
          <w:lang w:val="en-US"/>
        </w:rPr>
        <w:tab/>
        <w:t>please provide an explanation of how the interplay works from the perspective of government aims and objectives for</w:t>
      </w:r>
      <w:r>
        <w:rPr>
          <w:rFonts w:cstheme="minorHAnsi"/>
          <w:lang w:val="en-US"/>
        </w:rPr>
        <w:t xml:space="preserve"> [this governance function] </w:t>
      </w:r>
      <w:r w:rsidRPr="00B87836">
        <w:rPr>
          <w:rFonts w:cstheme="minorHAnsi"/>
          <w:lang w:val="en-US"/>
        </w:rPr>
        <w:t>and the means of achieving those objectives (i.e. what tools to the government put in place to achieve those objectives and how do they connect to accessibility and human rights law)</w:t>
      </w:r>
    </w:p>
    <w:p w:rsidR="008F6A70" w:rsidRDefault="008F6A70" w:rsidP="008F6A70">
      <w:pPr>
        <w:spacing w:after="0" w:line="360" w:lineRule="auto"/>
        <w:ind w:left="2160"/>
        <w:rPr>
          <w:rFonts w:cstheme="minorHAnsi"/>
          <w:lang w:val="en-US"/>
        </w:rPr>
      </w:pPr>
      <w:r w:rsidRPr="00B87836">
        <w:rPr>
          <w:rFonts w:cstheme="minorHAnsi"/>
          <w:lang w:val="en-US"/>
        </w:rPr>
        <w:t>ii.</w:t>
      </w:r>
      <w:r w:rsidRPr="00B87836">
        <w:rPr>
          <w:rFonts w:cstheme="minorHAnsi"/>
          <w:lang w:val="en-US"/>
        </w:rPr>
        <w:tab/>
        <w:t>Do you feel that this approach was successful? Why or why not?</w:t>
      </w:r>
    </w:p>
    <w:p w:rsidR="008F6A70" w:rsidRPr="00B87836" w:rsidRDefault="008F6A70" w:rsidP="008F6A70">
      <w:pPr>
        <w:pStyle w:val="ListParagraph"/>
        <w:numPr>
          <w:ilvl w:val="0"/>
          <w:numId w:val="35"/>
        </w:numPr>
        <w:spacing w:after="0" w:line="240" w:lineRule="auto"/>
        <w:rPr>
          <w:rFonts w:cstheme="minorHAnsi"/>
          <w:b/>
          <w:lang w:val="en-US"/>
        </w:rPr>
      </w:pPr>
      <w:r w:rsidRPr="00B87836">
        <w:rPr>
          <w:rFonts w:cstheme="minorHAnsi"/>
          <w:b/>
          <w:lang w:val="en-US"/>
        </w:rPr>
        <w:t>Questions relating to perceived challenges in the development of accessibility legislation.</w:t>
      </w:r>
    </w:p>
    <w:p w:rsidR="008F6A70" w:rsidRPr="008F5FD6" w:rsidRDefault="008F6A70" w:rsidP="008F6A70">
      <w:pPr>
        <w:pStyle w:val="ListParagraph"/>
        <w:numPr>
          <w:ilvl w:val="0"/>
          <w:numId w:val="36"/>
        </w:numPr>
        <w:rPr>
          <w:rFonts w:cstheme="minorHAnsi"/>
          <w:lang w:val="en-US"/>
        </w:rPr>
      </w:pPr>
      <w:r w:rsidRPr="008F5FD6">
        <w:rPr>
          <w:rFonts w:cstheme="minorHAnsi"/>
          <w:lang w:val="en-US"/>
        </w:rPr>
        <w:t>What lessons would you pass on from the experience in your jurisdiction of enacting accessibility legislation, particularly as it relates to the interplay with human rights law?</w:t>
      </w:r>
    </w:p>
    <w:p w:rsidR="008F6A70" w:rsidRDefault="008F6A70" w:rsidP="008F6A70">
      <w:pPr>
        <w:pStyle w:val="ListParagraph"/>
        <w:numPr>
          <w:ilvl w:val="0"/>
          <w:numId w:val="36"/>
        </w:numPr>
        <w:rPr>
          <w:rFonts w:cstheme="minorHAnsi"/>
          <w:lang w:val="en-US"/>
        </w:rPr>
      </w:pPr>
      <w:r w:rsidRPr="008F5FD6">
        <w:rPr>
          <w:rFonts w:cstheme="minorHAnsi"/>
          <w:lang w:val="en-US"/>
        </w:rPr>
        <w:t>What considerations would you suggest that the Canadian federal government pay attention to in establishing accessibility legislation?</w:t>
      </w:r>
    </w:p>
    <w:p w:rsidR="008F6A70" w:rsidRPr="008F5FD6" w:rsidRDefault="008F6A70" w:rsidP="008F6A70">
      <w:pPr>
        <w:pStyle w:val="ListParagraph"/>
        <w:ind w:left="1080"/>
        <w:rPr>
          <w:rFonts w:cstheme="minorHAnsi"/>
          <w:lang w:val="en-US"/>
        </w:rPr>
      </w:pPr>
    </w:p>
    <w:p w:rsidR="008F6A70" w:rsidRPr="001A1DA7" w:rsidRDefault="008F6A70" w:rsidP="008F6A70">
      <w:pPr>
        <w:pStyle w:val="ListParagraph"/>
        <w:numPr>
          <w:ilvl w:val="0"/>
          <w:numId w:val="35"/>
        </w:numPr>
        <w:rPr>
          <w:lang w:val="en-US"/>
        </w:rPr>
      </w:pPr>
      <w:r w:rsidRPr="005B5653">
        <w:rPr>
          <w:b/>
          <w:lang w:val="en-US"/>
        </w:rPr>
        <w:t>Is there anything else that you would like to add?</w:t>
      </w:r>
    </w:p>
    <w:p w:rsidR="001A1DA7" w:rsidRDefault="001A1DA7" w:rsidP="001A1DA7">
      <w:pPr>
        <w:jc w:val="center"/>
        <w:rPr>
          <w:b/>
          <w:sz w:val="24"/>
        </w:rPr>
      </w:pPr>
    </w:p>
    <w:p w:rsidR="001A1DA7" w:rsidRPr="001A1DA7" w:rsidRDefault="001A1DA7" w:rsidP="001A1DA7">
      <w:pPr>
        <w:pStyle w:val="Heading2"/>
        <w:jc w:val="center"/>
        <w:rPr>
          <w:lang w:val="en-US"/>
        </w:rPr>
      </w:pPr>
      <w:bookmarkStart w:id="24" w:name="_Toc505751510"/>
      <w:r w:rsidRPr="001A1DA7">
        <w:t>List of Interviewees</w:t>
      </w:r>
      <w:bookmarkEnd w:id="24"/>
    </w:p>
    <w:p w:rsidR="008F6A70" w:rsidRPr="008F6A70" w:rsidRDefault="008F6A70" w:rsidP="00FC5FD4">
      <w:pPr>
        <w:rPr>
          <w:lang w:val="en-US"/>
        </w:rPr>
      </w:pPr>
    </w:p>
    <w:tbl>
      <w:tblPr>
        <w:tblStyle w:val="TableGrid"/>
        <w:tblW w:w="0" w:type="auto"/>
        <w:tblLook w:val="04A0" w:firstRow="1" w:lastRow="0" w:firstColumn="1" w:lastColumn="0" w:noHBand="0" w:noVBand="1"/>
      </w:tblPr>
      <w:tblGrid>
        <w:gridCol w:w="3192"/>
        <w:gridCol w:w="3192"/>
        <w:gridCol w:w="3192"/>
      </w:tblGrid>
      <w:tr w:rsidR="00FC5FD4" w:rsidTr="00782060">
        <w:tc>
          <w:tcPr>
            <w:tcW w:w="3192" w:type="dxa"/>
          </w:tcPr>
          <w:p w:rsidR="00FC5FD4" w:rsidRDefault="00FC5FD4" w:rsidP="00782060">
            <w:r>
              <w:t>Australia</w:t>
            </w:r>
          </w:p>
        </w:tc>
        <w:tc>
          <w:tcPr>
            <w:tcW w:w="3192" w:type="dxa"/>
          </w:tcPr>
          <w:p w:rsidR="00FC5FD4" w:rsidRDefault="00FC5FD4" w:rsidP="00782060">
            <w:r>
              <w:t>Alastair McEwin</w:t>
            </w:r>
          </w:p>
        </w:tc>
        <w:tc>
          <w:tcPr>
            <w:tcW w:w="3192" w:type="dxa"/>
          </w:tcPr>
          <w:p w:rsidR="00FC5FD4" w:rsidRDefault="00FC5FD4" w:rsidP="00782060">
            <w:r>
              <w:t>Disability Discrimination Commissioner for Australia</w:t>
            </w:r>
          </w:p>
        </w:tc>
      </w:tr>
      <w:tr w:rsidR="00FC5FD4" w:rsidTr="00782060">
        <w:tc>
          <w:tcPr>
            <w:tcW w:w="3192" w:type="dxa"/>
          </w:tcPr>
          <w:p w:rsidR="00FC5FD4" w:rsidRDefault="00FC5FD4" w:rsidP="00782060">
            <w:r>
              <w:t>United States</w:t>
            </w:r>
          </w:p>
        </w:tc>
        <w:tc>
          <w:tcPr>
            <w:tcW w:w="3192" w:type="dxa"/>
          </w:tcPr>
          <w:p w:rsidR="00FC5FD4" w:rsidRDefault="00FC5FD4" w:rsidP="00782060">
            <w:r>
              <w:t>John Wodatch</w:t>
            </w:r>
          </w:p>
        </w:tc>
        <w:tc>
          <w:tcPr>
            <w:tcW w:w="3192" w:type="dxa"/>
          </w:tcPr>
          <w:p w:rsidR="00FC5FD4" w:rsidRDefault="00FC5FD4" w:rsidP="00782060">
            <w:r>
              <w:t>Former C</w:t>
            </w:r>
            <w:r w:rsidRPr="00780747">
              <w:t>hief of the Disability Rights Section in the Civil Rights Section of D</w:t>
            </w:r>
            <w:r>
              <w:t>epartment of Justice</w:t>
            </w:r>
            <w:r w:rsidRPr="00780747">
              <w:t xml:space="preserve"> </w:t>
            </w:r>
            <w:r>
              <w:t>(</w:t>
            </w:r>
            <w:r w:rsidRPr="00780747">
              <w:t>Retired</w:t>
            </w:r>
            <w:r>
              <w:t>)</w:t>
            </w:r>
          </w:p>
        </w:tc>
      </w:tr>
      <w:tr w:rsidR="00FC5FD4" w:rsidTr="00782060">
        <w:tc>
          <w:tcPr>
            <w:tcW w:w="3192" w:type="dxa"/>
          </w:tcPr>
          <w:p w:rsidR="00FC5FD4" w:rsidRDefault="00FC5FD4" w:rsidP="00782060">
            <w:r>
              <w:t>Israel</w:t>
            </w:r>
            <w:r w:rsidR="00C204A8">
              <w:rPr>
                <w:rStyle w:val="FootnoteReference"/>
              </w:rPr>
              <w:footnoteReference w:customMarkFollows="1" w:id="58"/>
              <w:t>*</w:t>
            </w:r>
          </w:p>
        </w:tc>
        <w:tc>
          <w:tcPr>
            <w:tcW w:w="3192" w:type="dxa"/>
          </w:tcPr>
          <w:p w:rsidR="00FC5FD4" w:rsidRDefault="00FC5FD4" w:rsidP="00782060">
            <w:r>
              <w:t>Zvia Admon</w:t>
            </w:r>
          </w:p>
        </w:tc>
        <w:tc>
          <w:tcPr>
            <w:tcW w:w="3192" w:type="dxa"/>
          </w:tcPr>
          <w:p w:rsidR="00FC5FD4" w:rsidRDefault="00FC5FD4" w:rsidP="00782060">
            <w:r>
              <w:t>D</w:t>
            </w:r>
            <w:r w:rsidRPr="00AD2838">
              <w:t xml:space="preserve">rafted the customer service </w:t>
            </w:r>
            <w:r>
              <w:t>regulation</w:t>
            </w:r>
            <w:r w:rsidRPr="00AD2838">
              <w:t xml:space="preserve"> for the Commission on Equal Rights for Peo</w:t>
            </w:r>
            <w:r>
              <w:t xml:space="preserve">ple with Disabilities, </w:t>
            </w:r>
            <w:r w:rsidRPr="00AD2838">
              <w:t xml:space="preserve"> Ministry of Justice</w:t>
            </w:r>
          </w:p>
        </w:tc>
      </w:tr>
      <w:tr w:rsidR="00FC5FD4" w:rsidTr="00782060">
        <w:tc>
          <w:tcPr>
            <w:tcW w:w="3192" w:type="dxa"/>
          </w:tcPr>
          <w:p w:rsidR="00FC5FD4" w:rsidRDefault="00FC5FD4" w:rsidP="00782060">
            <w:r>
              <w:t>Ontario</w:t>
            </w:r>
          </w:p>
        </w:tc>
        <w:tc>
          <w:tcPr>
            <w:tcW w:w="3192" w:type="dxa"/>
          </w:tcPr>
          <w:p w:rsidR="00FC5FD4" w:rsidRDefault="00FC5FD4" w:rsidP="00782060">
            <w:r>
              <w:t>Alf Spencer</w:t>
            </w:r>
          </w:p>
        </w:tc>
        <w:tc>
          <w:tcPr>
            <w:tcW w:w="3192" w:type="dxa"/>
          </w:tcPr>
          <w:p w:rsidR="00FC5FD4" w:rsidRDefault="00FC5FD4" w:rsidP="00782060">
            <w:r w:rsidRPr="00992494">
              <w:t>Director of the Outreach &amp; Strategic Initiatives Branch</w:t>
            </w:r>
            <w:r>
              <w:t>,</w:t>
            </w:r>
            <w:r w:rsidRPr="00992494">
              <w:t xml:space="preserve"> </w:t>
            </w:r>
            <w:r>
              <w:t>Accessibility Directorate Ontario</w:t>
            </w:r>
          </w:p>
        </w:tc>
      </w:tr>
      <w:tr w:rsidR="00FC5FD4" w:rsidTr="00782060">
        <w:tc>
          <w:tcPr>
            <w:tcW w:w="3192" w:type="dxa"/>
          </w:tcPr>
          <w:p w:rsidR="00FC5FD4" w:rsidRDefault="00FC5FD4" w:rsidP="00782060">
            <w:r>
              <w:t>Nova Scotia</w:t>
            </w:r>
          </w:p>
        </w:tc>
        <w:tc>
          <w:tcPr>
            <w:tcW w:w="3192" w:type="dxa"/>
          </w:tcPr>
          <w:p w:rsidR="00FC5FD4" w:rsidRDefault="00FC5FD4" w:rsidP="00782060">
            <w:r>
              <w:t>Gerry Post</w:t>
            </w:r>
          </w:p>
        </w:tc>
        <w:tc>
          <w:tcPr>
            <w:tcW w:w="3192" w:type="dxa"/>
          </w:tcPr>
          <w:p w:rsidR="00FC5FD4" w:rsidRDefault="00FC5FD4" w:rsidP="00782060">
            <w:r>
              <w:t>E</w:t>
            </w:r>
            <w:r w:rsidRPr="005C7314">
              <w:t xml:space="preserve">xecutive </w:t>
            </w:r>
            <w:r>
              <w:t>D</w:t>
            </w:r>
            <w:r w:rsidRPr="005C7314">
              <w:t>irector o</w:t>
            </w:r>
            <w:r>
              <w:t>f the Accessibility Directorate, Nova Scotia</w:t>
            </w:r>
          </w:p>
        </w:tc>
      </w:tr>
      <w:tr w:rsidR="00FC5FD4" w:rsidTr="00782060">
        <w:tc>
          <w:tcPr>
            <w:tcW w:w="3192" w:type="dxa"/>
          </w:tcPr>
          <w:p w:rsidR="00FC5FD4" w:rsidRDefault="00FC5FD4" w:rsidP="00782060">
            <w:r>
              <w:t>Manitoba</w:t>
            </w:r>
          </w:p>
        </w:tc>
        <w:tc>
          <w:tcPr>
            <w:tcW w:w="3192" w:type="dxa"/>
          </w:tcPr>
          <w:p w:rsidR="00FC5FD4" w:rsidRDefault="00FC5FD4" w:rsidP="00782060">
            <w:r>
              <w:t>Yutta Fricke</w:t>
            </w:r>
          </w:p>
        </w:tc>
        <w:tc>
          <w:tcPr>
            <w:tcW w:w="3192" w:type="dxa"/>
          </w:tcPr>
          <w:p w:rsidR="00FC5FD4" w:rsidRDefault="00FC5FD4" w:rsidP="00782060">
            <w:r w:rsidRPr="006545FD">
              <w:t>Executive Director of the Disabilities Issues Office</w:t>
            </w:r>
            <w:r>
              <w:t>, Manitoba</w:t>
            </w:r>
          </w:p>
        </w:tc>
      </w:tr>
      <w:tr w:rsidR="00FC5FD4" w:rsidTr="00782060">
        <w:tc>
          <w:tcPr>
            <w:tcW w:w="3192" w:type="dxa"/>
          </w:tcPr>
          <w:p w:rsidR="00FC5FD4" w:rsidRDefault="00FC5FD4" w:rsidP="00782060">
            <w:r>
              <w:t>Canadian Human Rights Commission</w:t>
            </w:r>
          </w:p>
        </w:tc>
        <w:tc>
          <w:tcPr>
            <w:tcW w:w="3192" w:type="dxa"/>
          </w:tcPr>
          <w:p w:rsidR="00FC5FD4" w:rsidRPr="00A1003A" w:rsidRDefault="00FC5FD4" w:rsidP="00782060">
            <w:pPr>
              <w:pStyle w:val="ListParagraph"/>
              <w:numPr>
                <w:ilvl w:val="1"/>
                <w:numId w:val="24"/>
              </w:numPr>
              <w:ind w:left="489" w:hanging="375"/>
              <w:contextualSpacing w:val="0"/>
            </w:pPr>
            <w:r w:rsidRPr="00A1003A">
              <w:t xml:space="preserve">Natalie Dagenais, </w:t>
            </w:r>
            <w:r>
              <w:t>Director</w:t>
            </w:r>
            <w:r w:rsidRPr="00A1003A">
              <w:t xml:space="preserve"> </w:t>
            </w:r>
          </w:p>
          <w:p w:rsidR="00FC5FD4" w:rsidRPr="00A1003A" w:rsidRDefault="00FC5FD4" w:rsidP="00782060">
            <w:pPr>
              <w:pStyle w:val="ListParagraph"/>
              <w:numPr>
                <w:ilvl w:val="1"/>
                <w:numId w:val="24"/>
              </w:numPr>
              <w:ind w:left="525" w:hanging="396"/>
              <w:contextualSpacing w:val="0"/>
            </w:pPr>
            <w:r w:rsidRPr="00A1003A">
              <w:t>Marcel</w:t>
            </w:r>
            <w:r>
              <w:t>la Daye, Senior Policy Advisor</w:t>
            </w:r>
          </w:p>
          <w:p w:rsidR="00FC5FD4" w:rsidRDefault="00FC5FD4" w:rsidP="00782060">
            <w:pPr>
              <w:pStyle w:val="ListParagraph"/>
              <w:numPr>
                <w:ilvl w:val="1"/>
                <w:numId w:val="24"/>
              </w:numPr>
              <w:ind w:left="543" w:hanging="423"/>
              <w:contextualSpacing w:val="0"/>
            </w:pPr>
            <w:r w:rsidRPr="00A1003A">
              <w:t xml:space="preserve">Rebecca </w:t>
            </w:r>
            <w:r>
              <w:t>Gowan, Senior Policy Advisor</w:t>
            </w:r>
          </w:p>
        </w:tc>
        <w:tc>
          <w:tcPr>
            <w:tcW w:w="3192" w:type="dxa"/>
          </w:tcPr>
          <w:p w:rsidR="00FC5FD4" w:rsidRPr="00A1003A" w:rsidRDefault="00FC5FD4" w:rsidP="00782060">
            <w:pPr>
              <w:ind w:firstLine="6"/>
            </w:pPr>
            <w:r w:rsidRPr="00A1003A">
              <w:t>Policy, Research and International Division, Promotion Branch</w:t>
            </w:r>
          </w:p>
          <w:p w:rsidR="00FC5FD4" w:rsidRDefault="00FC5FD4" w:rsidP="00782060"/>
        </w:tc>
      </w:tr>
    </w:tbl>
    <w:p w:rsidR="00FC5FD4" w:rsidRDefault="00FC5FD4" w:rsidP="00FC5FD4"/>
    <w:p w:rsidR="00FC5FD4" w:rsidRDefault="00FC5FD4" w:rsidP="008715FC">
      <w:pPr>
        <w:pStyle w:val="Heading1"/>
        <w:jc w:val="center"/>
      </w:pPr>
    </w:p>
    <w:p w:rsidR="00FC5FD4" w:rsidRDefault="00FC5FD4">
      <w:pPr>
        <w:rPr>
          <w:rFonts w:asciiTheme="majorHAnsi" w:eastAsiaTheme="majorEastAsia" w:hAnsiTheme="majorHAnsi" w:cstheme="majorBidi"/>
          <w:b/>
          <w:bCs/>
          <w:color w:val="365F91" w:themeColor="accent1" w:themeShade="BF"/>
          <w:sz w:val="28"/>
          <w:szCs w:val="28"/>
        </w:rPr>
      </w:pPr>
      <w:r>
        <w:br w:type="page"/>
      </w:r>
    </w:p>
    <w:p w:rsidR="00601083" w:rsidRDefault="00601083" w:rsidP="009D2B02">
      <w:pPr>
        <w:pStyle w:val="Heading1"/>
        <w:jc w:val="center"/>
      </w:pPr>
      <w:bookmarkStart w:id="25" w:name="_Toc505751511"/>
      <w:r>
        <w:t xml:space="preserve">Appendix </w:t>
      </w:r>
      <w:r w:rsidR="001B0C5C">
        <w:t>B</w:t>
      </w:r>
      <w:r>
        <w:t xml:space="preserve"> – Tables of Governance Functions in </w:t>
      </w:r>
      <w:r w:rsidR="00410F9F">
        <w:t>Canadian</w:t>
      </w:r>
      <w:r>
        <w:t xml:space="preserve"> and International Accessibility Laws</w:t>
      </w:r>
      <w:bookmarkEnd w:id="25"/>
    </w:p>
    <w:p w:rsidR="00601083" w:rsidRDefault="00601083" w:rsidP="00DC3F90"/>
    <w:p w:rsidR="008715FC" w:rsidRPr="00363AB0" w:rsidRDefault="008715FC" w:rsidP="00DC3F90"/>
    <w:sectPr w:rsidR="008715FC" w:rsidRPr="00363AB0" w:rsidSect="00D72CF2">
      <w:headerReference w:type="even" r:id="rId72"/>
      <w:headerReference w:type="default" r:id="rId73"/>
      <w:footerReference w:type="default" r:id="rId74"/>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503" w:rsidRDefault="00716503" w:rsidP="002E734D">
      <w:pPr>
        <w:spacing w:after="0" w:line="240" w:lineRule="auto"/>
      </w:pPr>
      <w:r>
        <w:separator/>
      </w:r>
    </w:p>
  </w:endnote>
  <w:endnote w:type="continuationSeparator" w:id="0">
    <w:p w:rsidR="00716503" w:rsidRDefault="00716503" w:rsidP="002E7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2012855"/>
      <w:docPartObj>
        <w:docPartGallery w:val="Page Numbers (Bottom of Page)"/>
        <w:docPartUnique/>
      </w:docPartObj>
    </w:sdtPr>
    <w:sdtEndPr>
      <w:rPr>
        <w:noProof/>
      </w:rPr>
    </w:sdtEndPr>
    <w:sdtContent>
      <w:p w:rsidR="00A93AD4" w:rsidRDefault="00A93AD4">
        <w:pPr>
          <w:pStyle w:val="Footer"/>
          <w:jc w:val="center"/>
        </w:pPr>
        <w:r>
          <w:fldChar w:fldCharType="begin"/>
        </w:r>
        <w:r>
          <w:instrText xml:space="preserve"> PAGE   \* MERGEFORMAT </w:instrText>
        </w:r>
        <w:r>
          <w:fldChar w:fldCharType="separate"/>
        </w:r>
        <w:r w:rsidR="0000319E">
          <w:rPr>
            <w:noProof/>
          </w:rPr>
          <w:t>13</w:t>
        </w:r>
        <w:r>
          <w:rPr>
            <w:noProof/>
          </w:rPr>
          <w:fldChar w:fldCharType="end"/>
        </w:r>
      </w:p>
    </w:sdtContent>
  </w:sdt>
  <w:p w:rsidR="00A93AD4" w:rsidRDefault="00A93A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503" w:rsidRDefault="00716503" w:rsidP="002E734D">
      <w:pPr>
        <w:spacing w:after="0" w:line="240" w:lineRule="auto"/>
      </w:pPr>
      <w:r>
        <w:separator/>
      </w:r>
    </w:p>
  </w:footnote>
  <w:footnote w:type="continuationSeparator" w:id="0">
    <w:p w:rsidR="00716503" w:rsidRDefault="00716503" w:rsidP="002E734D">
      <w:pPr>
        <w:spacing w:after="0" w:line="240" w:lineRule="auto"/>
      </w:pPr>
      <w:r>
        <w:continuationSeparator/>
      </w:r>
    </w:p>
  </w:footnote>
  <w:footnote w:id="1">
    <w:p w:rsidR="00A93AD4" w:rsidRDefault="00A93AD4" w:rsidP="00F64725">
      <w:pPr>
        <w:pStyle w:val="FootnoteText"/>
      </w:pPr>
      <w:r w:rsidRPr="00623B9C">
        <w:rPr>
          <w:rStyle w:val="FootnoteReference"/>
        </w:rPr>
        <w:sym w:font="Symbol" w:char="F02A"/>
      </w:r>
      <w:r>
        <w:t xml:space="preserve"> </w:t>
      </w:r>
      <w:r w:rsidRPr="002B7246">
        <w:t>Associate Professor &amp; Director of Graduate Studies, Faculty of Law, University of Windsor</w:t>
      </w:r>
      <w:r>
        <w:t xml:space="preserve">. </w:t>
      </w:r>
      <w:r w:rsidRPr="002B7246">
        <w:t xml:space="preserve"> </w:t>
      </w:r>
      <w:r>
        <w:t xml:space="preserve">The author wishes to thank </w:t>
      </w:r>
      <w:r w:rsidRPr="005C5900">
        <w:t>the various individuals who took the time to share with how accessibility legislation and human rights laws work</w:t>
      </w:r>
      <w:r>
        <w:t xml:space="preserve"> together</w:t>
      </w:r>
      <w:r w:rsidRPr="005C5900">
        <w:t xml:space="preserve"> in their jurisdictions.</w:t>
      </w:r>
      <w:r>
        <w:t xml:space="preserve"> Thanks also to Horia Tabatabaei Soltani (Windsor Law JD Cand. ’18) for her excellent and timely research assistance and</w:t>
      </w:r>
      <w:r w:rsidRPr="008C2070">
        <w:t xml:space="preserve"> Employment and Social Development Canada (Government of Canada) (ESDC) f</w:t>
      </w:r>
      <w:r>
        <w:t xml:space="preserve">or its support of this research. </w:t>
      </w:r>
      <w:r w:rsidRPr="008C2070">
        <w:t xml:space="preserve"> The views expressed in this document are those of the author and not those of ESDC.</w:t>
      </w:r>
    </w:p>
  </w:footnote>
  <w:footnote w:id="2">
    <w:p w:rsidR="00A93AD4" w:rsidRDefault="00A93AD4" w:rsidP="002E734D">
      <w:pPr>
        <w:pStyle w:val="FootnoteText"/>
      </w:pPr>
      <w:r>
        <w:rPr>
          <w:rStyle w:val="FootnoteReference"/>
        </w:rPr>
        <w:footnoteRef/>
      </w:r>
      <w:r w:rsidRPr="00C3226F">
        <w:rPr>
          <w:i/>
        </w:rPr>
        <w:t xml:space="preserve"> Memorandum of Understanding (MOU) between The University of Windsor (Ontario) and Employment and Social Development Canada (Government of Canada) </w:t>
      </w:r>
      <w:r w:rsidRPr="002E734D">
        <w:t>for the research project: “Interplay Between Human Rights and Accessibility Laws: Lessons Learned and Considerations for the Planned Fed</w:t>
      </w:r>
      <w:r>
        <w:t>eral Accessibility Legislation” at 1-2.</w:t>
      </w:r>
      <w:r w:rsidRPr="00650D78">
        <w:t xml:space="preserve"> The author thanks Employment and Social Development Canada (Government of Canada) (ESDC) for its support of this research. The views expressed in this document are those of the author and not those of ESDC.</w:t>
      </w:r>
    </w:p>
  </w:footnote>
  <w:footnote w:id="3">
    <w:p w:rsidR="00A93AD4" w:rsidRDefault="00A93AD4">
      <w:pPr>
        <w:pStyle w:val="FootnoteText"/>
      </w:pPr>
      <w:r>
        <w:rPr>
          <w:rStyle w:val="FootnoteReference"/>
        </w:rPr>
        <w:footnoteRef/>
      </w:r>
      <w:r>
        <w:t xml:space="preserve"> And relevant case law where applicable.</w:t>
      </w:r>
    </w:p>
  </w:footnote>
  <w:footnote w:id="4">
    <w:p w:rsidR="00A93AD4" w:rsidRPr="00C11E6E" w:rsidRDefault="00A93AD4">
      <w:pPr>
        <w:pStyle w:val="FootnoteText"/>
      </w:pPr>
      <w:r>
        <w:rPr>
          <w:rStyle w:val="FootnoteReference"/>
        </w:rPr>
        <w:footnoteRef/>
      </w:r>
      <w:r>
        <w:t xml:space="preserve"> See the proposed federal accessibility legislation consultation report, </w:t>
      </w:r>
      <w:r>
        <w:rPr>
          <w:lang w:val="en-US"/>
        </w:rPr>
        <w:t xml:space="preserve">Government of Canada </w:t>
      </w:r>
      <w:r w:rsidRPr="00064972">
        <w:rPr>
          <w:lang w:val="en-US"/>
        </w:rPr>
        <w:t xml:space="preserve">(Employment and Social Development Canada), </w:t>
      </w:r>
      <w:r w:rsidRPr="00064972">
        <w:rPr>
          <w:i/>
          <w:iCs/>
          <w:lang w:val="en-US"/>
        </w:rPr>
        <w:t>Creating new federal accessibility legislation: What we learned from Canadians</w:t>
      </w:r>
      <w:r w:rsidRPr="00064972">
        <w:rPr>
          <w:lang w:val="en-US"/>
        </w:rPr>
        <w:t xml:space="preserve"> Release date: May 29, 2017</w:t>
      </w:r>
      <w:r>
        <w:t xml:space="preserve"> (online:</w:t>
      </w:r>
      <w:r w:rsidRPr="00C11E6E">
        <w:t xml:space="preserve"> </w:t>
      </w:r>
      <w:hyperlink r:id="rId1" w:history="1">
        <w:r w:rsidRPr="004D39A6">
          <w:rPr>
            <w:rStyle w:val="Hyperlink"/>
          </w:rPr>
          <w:t>https://www.canada.ca/en/employment-social-development/programs/planned-accessibility-legislation/reports/consultations-what-we-learned.html</w:t>
        </w:r>
      </w:hyperlink>
      <w:r>
        <w:t xml:space="preserve"> ).</w:t>
      </w:r>
    </w:p>
  </w:footnote>
  <w:footnote w:id="5">
    <w:p w:rsidR="00A93AD4" w:rsidRDefault="00A93AD4">
      <w:pPr>
        <w:pStyle w:val="FootnoteText"/>
      </w:pPr>
      <w:r>
        <w:rPr>
          <w:rStyle w:val="FootnoteReference"/>
        </w:rPr>
        <w:footnoteRef/>
      </w:r>
      <w:r>
        <w:t xml:space="preserve"> </w:t>
      </w:r>
      <w:r>
        <w:rPr>
          <w:lang w:val="en-US"/>
        </w:rPr>
        <w:t xml:space="preserve">This arises notably in Australia where human rights laws refer to laws emanating from international treaties such as the </w:t>
      </w:r>
      <w:r w:rsidRPr="00313567">
        <w:rPr>
          <w:i/>
          <w:lang w:val="en-US"/>
        </w:rPr>
        <w:t>Convention on the Rights of Persons with Disabilities</w:t>
      </w:r>
      <w:r w:rsidRPr="00313567">
        <w:rPr>
          <w:lang w:val="en-US"/>
        </w:rPr>
        <w:t xml:space="preserve"> </w:t>
      </w:r>
      <w:r w:rsidRPr="00EE6659">
        <w:rPr>
          <w:i/>
          <w:lang w:val="en-US"/>
        </w:rPr>
        <w:t>Convention on the Rights of Persons with Disabilities</w:t>
      </w:r>
      <w:r w:rsidRPr="00EE6659">
        <w:rPr>
          <w:lang w:val="en-US"/>
        </w:rPr>
        <w:t xml:space="preserve"> G.A. Res. 61/106, U.N. Doc. A/RES/61/106 (Jan. 24, 2007), (13 December 2006, United Nations, Treaty Series, vol. 2515), online: </w:t>
      </w:r>
      <w:hyperlink r:id="rId2" w:history="1">
        <w:r w:rsidRPr="00EE6659">
          <w:rPr>
            <w:rStyle w:val="Hyperlink"/>
            <w:lang w:val="en-US"/>
          </w:rPr>
          <w:t>http://www.ohchr.org/EN/HRBodies/CRPD/Pages/ConventionRightsPersonsWithDisabilities.aspx</w:t>
        </w:r>
      </w:hyperlink>
      <w:r w:rsidRPr="00EE6659">
        <w:rPr>
          <w:lang w:val="en-US"/>
        </w:rPr>
        <w:t xml:space="preserve"> </w:t>
      </w:r>
      <w:r>
        <w:rPr>
          <w:lang w:val="en-US"/>
        </w:rPr>
        <w:t>(CRPD). Antidiscrimination laws in Australia, by contrast, refer only to domestic laws. Australia has accepted the CRPD in so far as many of the responsibilities that exist already within its domestic laws replicate the obligations set out in the CRPD. The practical importance of tracing these</w:t>
      </w:r>
      <w:r w:rsidRPr="00170E1A">
        <w:rPr>
          <w:lang w:val="en-US"/>
        </w:rPr>
        <w:t xml:space="preserve"> </w:t>
      </w:r>
      <w:r>
        <w:rPr>
          <w:lang w:val="en-US"/>
        </w:rPr>
        <w:t xml:space="preserve">threads is to recognize that exercises of discretion under the Australian </w:t>
      </w:r>
      <w:r w:rsidRPr="00EC1812">
        <w:rPr>
          <w:i/>
          <w:lang w:val="en-US"/>
        </w:rPr>
        <w:t>Disability Discrimination Act</w:t>
      </w:r>
      <w:r>
        <w:rPr>
          <w:lang w:val="en-US"/>
        </w:rPr>
        <w:t xml:space="preserve">, 1992 </w:t>
      </w:r>
      <w:r w:rsidRPr="00EE6659">
        <w:rPr>
          <w:lang w:val="en-US"/>
        </w:rPr>
        <w:t xml:space="preserve">(Cth) </w:t>
      </w:r>
      <w:r>
        <w:rPr>
          <w:lang w:val="en-US"/>
        </w:rPr>
        <w:t>(DDA), which may result in the execution of any of the functions examined, will be guided by principles developed under the DDA and which recognize similar obligations under the CRPD.</w:t>
      </w:r>
      <w:r w:rsidRPr="00170E1A">
        <w:t xml:space="preserve"> </w:t>
      </w:r>
      <w:r>
        <w:t xml:space="preserve">The situation is similar in Canada in that many of the rights and obligations imposed by the CRPD dovetail with obligations that were already in place through our </w:t>
      </w:r>
      <w:r w:rsidRPr="00E24F83">
        <w:rPr>
          <w:i/>
          <w:lang w:val="en-US"/>
        </w:rPr>
        <w:t>Canadian Charter of Rights and Freedoms, Part I of the Constitution Act, 1982, being Schedule B to the Canada Act 1982 (UK), 1982, c 11</w:t>
      </w:r>
      <w:r>
        <w:rPr>
          <w:i/>
          <w:lang w:val="en-US"/>
        </w:rPr>
        <w:t xml:space="preserve"> </w:t>
      </w:r>
      <w:r>
        <w:rPr>
          <w:lang w:val="en-US"/>
        </w:rPr>
        <w:t>(</w:t>
      </w:r>
      <w:r>
        <w:rPr>
          <w:i/>
          <w:lang w:val="en-US"/>
        </w:rPr>
        <w:t>Charter</w:t>
      </w:r>
      <w:r>
        <w:rPr>
          <w:lang w:val="en-US"/>
        </w:rPr>
        <w:t xml:space="preserve">) </w:t>
      </w:r>
      <w:r>
        <w:t>and human rights statutes. This is not to say that there are not places where Canada could do more to live up to the expectations of the CRPD within the discretion of the government under the Constitution and statutes which seemingly provide duplicative rights and obligations.</w:t>
      </w:r>
    </w:p>
  </w:footnote>
  <w:footnote w:id="6">
    <w:p w:rsidR="00A93AD4" w:rsidRDefault="00A93AD4">
      <w:pPr>
        <w:pStyle w:val="FootnoteText"/>
      </w:pPr>
      <w:r>
        <w:rPr>
          <w:rStyle w:val="FootnoteReference"/>
        </w:rPr>
        <w:footnoteRef/>
      </w:r>
      <w:r>
        <w:t xml:space="preserve"> See United Nations Human Rights Office of the High Commissioner, "</w:t>
      </w:r>
      <w:r w:rsidRPr="001F56A4">
        <w:t>Draft General Comment on the right of persons with disabilities to equality and non-discrimination (article 5)</w:t>
      </w:r>
      <w:r>
        <w:t xml:space="preserve">”, available online:  </w:t>
      </w:r>
      <w:hyperlink r:id="rId3" w:history="1">
        <w:r w:rsidRPr="00B83673">
          <w:rPr>
            <w:rStyle w:val="Hyperlink"/>
          </w:rPr>
          <w:t>http://www.ohchr.org/EN/HRBodies/CRPD/Pages/CallPersonsDisabilitiesEqualityResponsability.aspx</w:t>
        </w:r>
      </w:hyperlink>
      <w:r>
        <w:t xml:space="preserve">  (General Comment on Equality and Non-discrimination) at paragraph 10.</w:t>
      </w:r>
    </w:p>
  </w:footnote>
  <w:footnote w:id="7">
    <w:p w:rsidR="00A93AD4" w:rsidRPr="005417C3" w:rsidRDefault="00A93AD4" w:rsidP="00E24F83">
      <w:pPr>
        <w:pStyle w:val="FootnoteText"/>
      </w:pPr>
      <w:r>
        <w:rPr>
          <w:rStyle w:val="FootnoteReference"/>
        </w:rPr>
        <w:footnoteRef/>
      </w:r>
      <w:r>
        <w:t xml:space="preserve"> </w:t>
      </w:r>
      <w:r w:rsidRPr="005417C3">
        <w:rPr>
          <w:rFonts w:eastAsia="Times New Roman"/>
        </w:rPr>
        <w:t xml:space="preserve">The Convention is the first human rights treaty to acknowledge explicitly intersectional discrimination </w:t>
      </w:r>
      <w:r>
        <w:rPr>
          <w:rFonts w:eastAsia="Times New Roman"/>
        </w:rPr>
        <w:t>(</w:t>
      </w:r>
      <w:r w:rsidRPr="005417C3">
        <w:rPr>
          <w:rFonts w:eastAsia="Times New Roman"/>
        </w:rPr>
        <w:t>at article 6 and preamble p)</w:t>
      </w:r>
      <w:r>
        <w:rPr>
          <w:rFonts w:eastAsia="Times New Roman"/>
        </w:rPr>
        <w:t>.</w:t>
      </w:r>
    </w:p>
  </w:footnote>
  <w:footnote w:id="8">
    <w:p w:rsidR="00A93AD4" w:rsidRDefault="00A93AD4">
      <w:pPr>
        <w:pStyle w:val="FootnoteText"/>
      </w:pPr>
      <w:r>
        <w:rPr>
          <w:rStyle w:val="FootnoteReference"/>
        </w:rPr>
        <w:footnoteRef/>
      </w:r>
      <w:r>
        <w:t xml:space="preserve"> See the General Comment on Equality and Non-discrimination at paragraph 10 (emphasis added).</w:t>
      </w:r>
    </w:p>
  </w:footnote>
  <w:footnote w:id="9">
    <w:p w:rsidR="00A93AD4" w:rsidRDefault="00A93AD4">
      <w:pPr>
        <w:pStyle w:val="FootnoteText"/>
      </w:pPr>
      <w:r>
        <w:rPr>
          <w:rStyle w:val="FootnoteReference"/>
        </w:rPr>
        <w:footnoteRef/>
      </w:r>
      <w:r>
        <w:t xml:space="preserve"> See</w:t>
      </w:r>
      <w:r w:rsidRPr="002853A1">
        <w:t xml:space="preserve"> </w:t>
      </w:r>
      <w:r>
        <w:t xml:space="preserve">the General Comment on Equality and Non-discrimination, </w:t>
      </w:r>
      <w:r w:rsidRPr="00C76343">
        <w:rPr>
          <w:i/>
        </w:rPr>
        <w:t>supra</w:t>
      </w:r>
      <w:r>
        <w:t xml:space="preserve"> paragraph 11.</w:t>
      </w:r>
    </w:p>
  </w:footnote>
  <w:footnote w:id="10">
    <w:p w:rsidR="00A93AD4" w:rsidRDefault="00A93AD4" w:rsidP="00E24F83">
      <w:pPr>
        <w:pStyle w:val="FootnoteText"/>
      </w:pPr>
      <w:r>
        <w:rPr>
          <w:rStyle w:val="FootnoteReference"/>
        </w:rPr>
        <w:footnoteRef/>
      </w:r>
      <w:r>
        <w:t xml:space="preserve"> See the General Comment on Equality and Non-discrimination, </w:t>
      </w:r>
      <w:r w:rsidRPr="00C76343">
        <w:rPr>
          <w:i/>
        </w:rPr>
        <w:t>supra</w:t>
      </w:r>
      <w:r>
        <w:t xml:space="preserve"> paragraph 3.</w:t>
      </w:r>
    </w:p>
  </w:footnote>
  <w:footnote w:id="11">
    <w:p w:rsidR="00A93AD4" w:rsidRDefault="00A93AD4">
      <w:pPr>
        <w:pStyle w:val="FootnoteText"/>
      </w:pPr>
      <w:r>
        <w:rPr>
          <w:rStyle w:val="FootnoteReference"/>
        </w:rPr>
        <w:footnoteRef/>
      </w:r>
      <w:r>
        <w:t xml:space="preserve"> See generally on reactive and proactive regulatory systems in the design of accessibility legislation, Laverne Jacobs, </w:t>
      </w:r>
      <w:r w:rsidRPr="000A6320">
        <w:rPr>
          <w:lang w:val="en"/>
        </w:rPr>
        <w:t>"‘Humanizing’ Disability Law:  Citizen Participation in the Development of Accessibility Regulations in Canada"</w:t>
      </w:r>
      <w:r w:rsidRPr="00B5160C">
        <w:t xml:space="preserve"> (2016)</w:t>
      </w:r>
      <w:r>
        <w:t xml:space="preserve"> </w:t>
      </w:r>
      <w:r w:rsidRPr="00BA2D5B">
        <w:rPr>
          <w:bCs/>
        </w:rPr>
        <w:t>Revue Internationale des Gouvernements Ouverts</w:t>
      </w:r>
      <w:r>
        <w:t xml:space="preserve"> </w:t>
      </w:r>
      <w:r w:rsidRPr="00B5160C">
        <w:t>93</w:t>
      </w:r>
      <w:r>
        <w:t xml:space="preserve"> (online:  </w:t>
      </w:r>
      <w:hyperlink r:id="rId4" w:history="1">
        <w:r w:rsidRPr="00471BBC">
          <w:rPr>
            <w:rStyle w:val="Hyperlink"/>
          </w:rPr>
          <w:t>http://ojs.imodev.org/index.php/RIGO/article/view/49</w:t>
        </w:r>
      </w:hyperlink>
      <w:r>
        <w:t xml:space="preserve"> ).</w:t>
      </w:r>
      <w:r w:rsidRPr="00FB4603">
        <w:t xml:space="preserve"> </w:t>
      </w:r>
      <w:r>
        <w:t xml:space="preserve">For a history of the social movement resulting in the first proactive piece of legislation, see </w:t>
      </w:r>
      <w:r w:rsidRPr="0030674D">
        <w:t>David Lepofsky, “The Long, Arduous Road to a Barrier-Free Ontario for People with Disabilities: The History of the</w:t>
      </w:r>
      <w:r w:rsidRPr="00A57918">
        <w:rPr>
          <w:i/>
        </w:rPr>
        <w:t xml:space="preserve"> Ontarians with Disabilities Act </w:t>
      </w:r>
      <w:r w:rsidRPr="0030674D">
        <w:t>-- The First Chapter” (2004) National Journal of Constitutional Law 125.</w:t>
      </w:r>
    </w:p>
  </w:footnote>
  <w:footnote w:id="12">
    <w:p w:rsidR="00A93AD4" w:rsidRPr="00E742FC" w:rsidRDefault="00A93AD4" w:rsidP="0099453E">
      <w:pPr>
        <w:pStyle w:val="FootnoteText"/>
      </w:pPr>
      <w:r>
        <w:rPr>
          <w:rStyle w:val="FootnoteReference"/>
        </w:rPr>
        <w:footnoteRef/>
      </w:r>
      <w:r>
        <w:t xml:space="preserve"> See Statistics Canada,</w:t>
      </w:r>
      <w:r w:rsidRPr="00E742FC">
        <w:t xml:space="preserve"> </w:t>
      </w:r>
      <w:r w:rsidRPr="00E742FC">
        <w:rPr>
          <w:i/>
        </w:rPr>
        <w:t>Low income among persons with a disability in Canada</w:t>
      </w:r>
      <w:r>
        <w:t xml:space="preserve">, </w:t>
      </w:r>
      <w:r w:rsidRPr="00E742FC">
        <w:t>Report by Katherine</w:t>
      </w:r>
      <w:r>
        <w:t xml:space="preserve"> Wall</w:t>
      </w:r>
      <w:r w:rsidRPr="00E742FC">
        <w:t xml:space="preserve"> (Release date: August 11, 2017</w:t>
      </w:r>
      <w:r>
        <w:t xml:space="preserve">) (online:  </w:t>
      </w:r>
      <w:hyperlink r:id="rId5" w:history="1">
        <w:r w:rsidRPr="00471BBC">
          <w:rPr>
            <w:rStyle w:val="Hyperlink"/>
          </w:rPr>
          <w:t>http://www.statcan.gc.ca/pub/75-006-x/2017001/article/54854-eng.htm</w:t>
        </w:r>
      </w:hyperlink>
      <w:r>
        <w:t xml:space="preserve"> ).</w:t>
      </w:r>
    </w:p>
    <w:p w:rsidR="00A93AD4" w:rsidRPr="00E742FC" w:rsidRDefault="00A93AD4" w:rsidP="00E742FC">
      <w:pPr>
        <w:pStyle w:val="FootnoteText"/>
      </w:pPr>
      <w:r>
        <w:t xml:space="preserve">The </w:t>
      </w:r>
      <w:r w:rsidRPr="00B4027E">
        <w:t>Institute for Research and Devel</w:t>
      </w:r>
      <w:r>
        <w:t>opment on Inclusion and Society has also found that “</w:t>
      </w:r>
      <w:r w:rsidRPr="000B7751">
        <w:t>working-age people with disabilities are about twice as likely as other Canadians to live below the poverty line</w:t>
      </w:r>
      <w:r>
        <w:t>”. See</w:t>
      </w:r>
      <w:r w:rsidRPr="00F46E76">
        <w:t xml:space="preserve"> </w:t>
      </w:r>
      <w:r>
        <w:t>Institute for Research and Development on Inclusion and Society, “</w:t>
      </w:r>
      <w:r w:rsidRPr="0099453E">
        <w:t>Looking Into Poverty: Income Sources of Poor People with Disabilities in Canada</w:t>
      </w:r>
      <w:r>
        <w:t xml:space="preserve">”(2013) (online: </w:t>
      </w:r>
      <w:hyperlink r:id="rId6" w:history="1">
        <w:r w:rsidRPr="004D39A6">
          <w:rPr>
            <w:rStyle w:val="Hyperlink"/>
          </w:rPr>
          <w:t>http://www.ccdonline.ca/en/socialpolicy/poverty-citizenship/demographic-profile/income-sources-of-poor-people-with-disabilities</w:t>
        </w:r>
      </w:hyperlink>
      <w:r>
        <w:t xml:space="preserve">  ) at 1. </w:t>
      </w:r>
    </w:p>
  </w:footnote>
  <w:footnote w:id="13">
    <w:p w:rsidR="00A93AD4" w:rsidRPr="009023EF" w:rsidRDefault="00A93AD4" w:rsidP="00242901">
      <w:pPr>
        <w:pStyle w:val="FootnoteText"/>
      </w:pPr>
      <w:r>
        <w:rPr>
          <w:rStyle w:val="FootnoteReference"/>
        </w:rPr>
        <w:footnoteRef/>
      </w:r>
      <w:r w:rsidRPr="00D44E9E">
        <w:rPr>
          <w:i/>
        </w:rPr>
        <w:t xml:space="preserve"> </w:t>
      </w:r>
      <w:r>
        <w:t xml:space="preserve">See the Canadian Human Rights Commission, </w:t>
      </w:r>
      <w:r w:rsidRPr="0099453E">
        <w:rPr>
          <w:i/>
        </w:rPr>
        <w:t>Left Out: Challenges faced by persons with disabilities in Canada’s schools</w:t>
      </w:r>
      <w:r>
        <w:t xml:space="preserve"> (online:  </w:t>
      </w:r>
      <w:hyperlink r:id="rId7" w:history="1">
        <w:r w:rsidRPr="004D39A6">
          <w:rPr>
            <w:rStyle w:val="Hyperlink"/>
          </w:rPr>
          <w:t>https://www.chrc-ccdp.gc.ca/eng/content/left-out-challenges-faced-persons-disabilities-canadas-schools</w:t>
        </w:r>
      </w:hyperlink>
      <w:r>
        <w:t xml:space="preserve"> ).</w:t>
      </w:r>
      <w:r w:rsidRPr="0099453E">
        <w:t xml:space="preserve"> </w:t>
      </w:r>
      <w:r>
        <w:t xml:space="preserve"> </w:t>
      </w:r>
      <w:r w:rsidRPr="00242901">
        <w:t>See</w:t>
      </w:r>
      <w:r>
        <w:t xml:space="preserve"> Institute for Research on Public Policy (IRPP), </w:t>
      </w:r>
      <w:r w:rsidRPr="00242901">
        <w:rPr>
          <w:i/>
        </w:rPr>
        <w:t>Inclusive Employment for Canadians with Disabilities</w:t>
      </w:r>
      <w:r>
        <w:rPr>
          <w:i/>
        </w:rPr>
        <w:t>:</w:t>
      </w:r>
      <w:r w:rsidRPr="00242901">
        <w:rPr>
          <w:i/>
        </w:rPr>
        <w:t xml:space="preserve"> Toward a New Policy Framework and Agenda</w:t>
      </w:r>
      <w:r>
        <w:t>,</w:t>
      </w:r>
      <w:r>
        <w:rPr>
          <w:i/>
        </w:rPr>
        <w:t xml:space="preserve"> </w:t>
      </w:r>
      <w:r>
        <w:t xml:space="preserve">Report by Michael J Prince </w:t>
      </w:r>
      <w:r w:rsidRPr="00E742FC">
        <w:t>(Release date:</w:t>
      </w:r>
      <w:r>
        <w:t xml:space="preserve">  </w:t>
      </w:r>
      <w:r w:rsidRPr="009023EF">
        <w:t>August</w:t>
      </w:r>
      <w:r>
        <w:t xml:space="preserve">, 2016) (online:  </w:t>
      </w:r>
      <w:hyperlink r:id="rId8" w:history="1">
        <w:r w:rsidRPr="00471BBC">
          <w:rPr>
            <w:rStyle w:val="Hyperlink"/>
          </w:rPr>
          <w:t>http://irpp.org/research-studies/study-no60/</w:t>
        </w:r>
      </w:hyperlink>
      <w:r>
        <w:t xml:space="preserve"> ).</w:t>
      </w:r>
    </w:p>
  </w:footnote>
  <w:footnote w:id="14">
    <w:p w:rsidR="00A93AD4" w:rsidRDefault="00A93AD4">
      <w:pPr>
        <w:pStyle w:val="FootnoteText"/>
      </w:pPr>
      <w:r>
        <w:rPr>
          <w:rStyle w:val="FootnoteReference"/>
        </w:rPr>
        <w:footnoteRef/>
      </w:r>
      <w:r>
        <w:t xml:space="preserve"> See Laverne Jacobs, </w:t>
      </w:r>
      <w:r w:rsidRPr="0099453E">
        <w:t>"The Universality of the Human Condition: Theorizing Transportation Inequality Claims by Persons with Disabilities in Canada, 1976-2016"</w:t>
      </w:r>
      <w:r w:rsidRPr="00F46E76">
        <w:t> </w:t>
      </w:r>
      <w:r w:rsidRPr="000F7151">
        <w:t>(</w:t>
      </w:r>
      <w:r w:rsidRPr="00F46E76">
        <w:t xml:space="preserve">2018) </w:t>
      </w:r>
      <w:r w:rsidRPr="00BA2D5B">
        <w:t xml:space="preserve">Canadian Journal of Human Rights </w:t>
      </w:r>
      <w:r w:rsidRPr="00F46E76">
        <w:t>(forthcoming)</w:t>
      </w:r>
      <w:r w:rsidRPr="000F7151">
        <w:t xml:space="preserve"> </w:t>
      </w:r>
      <w:r>
        <w:t xml:space="preserve">(online:  </w:t>
      </w:r>
      <w:hyperlink r:id="rId9" w:history="1">
        <w:r w:rsidRPr="00471BBC">
          <w:rPr>
            <w:rStyle w:val="Hyperlink"/>
          </w:rPr>
          <w:t>https://works.bepress.com/laverne-jacobs/4/</w:t>
        </w:r>
      </w:hyperlink>
      <w:r>
        <w:t xml:space="preserve"> ) and its related dataset.</w:t>
      </w:r>
    </w:p>
  </w:footnote>
  <w:footnote w:id="15">
    <w:p w:rsidR="00A93AD4" w:rsidRDefault="00A93AD4" w:rsidP="00D45372">
      <w:pPr>
        <w:pStyle w:val="FootnoteText"/>
      </w:pPr>
      <w:r>
        <w:rPr>
          <w:rStyle w:val="FootnoteReference"/>
        </w:rPr>
        <w:footnoteRef/>
      </w:r>
      <w:r>
        <w:t xml:space="preserve"> See eg the discussion on the correlation between self-representation and success before the tribunal in the 2015-16 BC Human Rights Tribunal Annual Report. The Report notes</w:t>
      </w:r>
      <w:r w:rsidRPr="0099453E">
        <w:t xml:space="preserve"> </w:t>
      </w:r>
      <w:r>
        <w:t>at 7-8: “Our numbers show that, for complainants, access to legal representation may be a determining factor in the success of their complaint. Complaints were dismissed or rejected far more frequently where complainants were self-represented. The picture is less stark for respondents, who generally had greater levels of legal representation.” This was observed earlier as well. See, for example, the 2006-7</w:t>
      </w:r>
      <w:r w:rsidRPr="00DA2A65">
        <w:t xml:space="preserve"> </w:t>
      </w:r>
      <w:r>
        <w:t xml:space="preserve">BC Human Rights Tribunal Annual Report at 17 (available online:  </w:t>
      </w:r>
      <w:hyperlink r:id="rId10" w:history="1">
        <w:r w:rsidRPr="004D39A6">
          <w:rPr>
            <w:rStyle w:val="Hyperlink"/>
          </w:rPr>
          <w:t>http://www.bchrt.bc.ca/shareddocs/annual_reports/2006-2007.pdf</w:t>
        </w:r>
      </w:hyperlink>
      <w:r>
        <w:t xml:space="preserve"> )</w:t>
      </w:r>
    </w:p>
    <w:p w:rsidR="00A93AD4" w:rsidRDefault="00A93AD4" w:rsidP="00D45372">
      <w:pPr>
        <w:pStyle w:val="FootnoteText"/>
      </w:pPr>
      <w:r>
        <w:t xml:space="preserve">and the 2007-8 BC Human Rights Tribunal Annual Report at 18 (available online:  </w:t>
      </w:r>
      <w:hyperlink r:id="rId11" w:history="1">
        <w:r w:rsidRPr="00471BBC">
          <w:rPr>
            <w:rStyle w:val="Hyperlink"/>
          </w:rPr>
          <w:t>http://www.bchrt.bc.ca/shareddocs/annual_reports/2007-2008.pdf</w:t>
        </w:r>
      </w:hyperlink>
      <w:r>
        <w:t>).</w:t>
      </w:r>
    </w:p>
  </w:footnote>
  <w:footnote w:id="16">
    <w:p w:rsidR="00A93AD4" w:rsidRPr="00A53014" w:rsidRDefault="00A93AD4" w:rsidP="00A53014">
      <w:pPr>
        <w:pStyle w:val="FootnoteText"/>
        <w:rPr>
          <w:i/>
        </w:rPr>
      </w:pPr>
      <w:r>
        <w:rPr>
          <w:rStyle w:val="FootnoteReference"/>
        </w:rPr>
        <w:footnoteRef/>
      </w:r>
      <w:r>
        <w:t xml:space="preserve"> See eg the Canadian Human Rights Commission 2016 Annual Report which indicates that 60 percent of all complaints filed at the CHRC that year were on the ground of disability discrimination. This far exceeds the next most common ground of alleged discrimination, namely, race, a ground which made up 17 percent of all complaints received by the CHRC that year. (See </w:t>
      </w:r>
      <w:r w:rsidRPr="00DE1CFA">
        <w:rPr>
          <w:i/>
        </w:rPr>
        <w:t>People First</w:t>
      </w:r>
      <w:r>
        <w:rPr>
          <w:i/>
        </w:rPr>
        <w:t>:</w:t>
      </w:r>
      <w:r w:rsidRPr="00DE1CFA">
        <w:t xml:space="preserve"> </w:t>
      </w:r>
      <w:r w:rsidRPr="00A53014">
        <w:rPr>
          <w:i/>
        </w:rPr>
        <w:t>The Canadian Human Rights Commission’s</w:t>
      </w:r>
    </w:p>
    <w:p w:rsidR="00A93AD4" w:rsidRDefault="00A93AD4" w:rsidP="00A53014">
      <w:pPr>
        <w:pStyle w:val="FootnoteText"/>
      </w:pPr>
      <w:r w:rsidRPr="00A53014">
        <w:rPr>
          <w:i/>
        </w:rPr>
        <w:t>2016 Annual Report to Parliament</w:t>
      </w:r>
      <w:r>
        <w:t xml:space="preserve"> at 57 (online:  </w:t>
      </w:r>
      <w:hyperlink r:id="rId12" w:history="1">
        <w:r w:rsidRPr="004D39A6">
          <w:rPr>
            <w:rStyle w:val="Hyperlink"/>
          </w:rPr>
          <w:t>https://www.chrc-ccdp.gc.ca/eng/content/annual-report-2016</w:t>
        </w:r>
      </w:hyperlink>
      <w:r>
        <w:t xml:space="preserve"> ).</w:t>
      </w:r>
    </w:p>
  </w:footnote>
  <w:footnote w:id="17">
    <w:p w:rsidR="00A93AD4" w:rsidRDefault="00A93AD4" w:rsidP="00A57918">
      <w:pPr>
        <w:pStyle w:val="FootnoteText"/>
      </w:pPr>
      <w:r>
        <w:rPr>
          <w:rStyle w:val="FootnoteReference"/>
        </w:rPr>
        <w:footnoteRef/>
      </w:r>
      <w:r>
        <w:t xml:space="preserve"> See eg </w:t>
      </w:r>
      <w:r w:rsidRPr="00267819">
        <w:rPr>
          <w:i/>
        </w:rPr>
        <w:t>Portman v Northwest Territories (Department of Justice)</w:t>
      </w:r>
      <w:r w:rsidRPr="005E063B">
        <w:t xml:space="preserve">, 2016 CanLII 47992 (NT HRAP), </w:t>
      </w:r>
      <w:hyperlink r:id="rId13" w:history="1">
        <w:r w:rsidRPr="008C6A9F">
          <w:rPr>
            <w:rStyle w:val="Hyperlink"/>
          </w:rPr>
          <w:t>http://canlii.ca/t/gsq30</w:t>
        </w:r>
      </w:hyperlink>
      <w:r>
        <w:t xml:space="preserve"> </w:t>
      </w:r>
      <w:r w:rsidRPr="005E063B">
        <w:t xml:space="preserve">, </w:t>
      </w:r>
      <w:r>
        <w:t xml:space="preserve">rev’d by </w:t>
      </w:r>
      <w:r w:rsidRPr="00267819">
        <w:rPr>
          <w:i/>
        </w:rPr>
        <w:t>GNWT v Portman</w:t>
      </w:r>
      <w:r w:rsidRPr="00267819">
        <w:t>, 2017 NWTSC 61 (CanLII),</w:t>
      </w:r>
      <w:r>
        <w:t xml:space="preserve"> </w:t>
      </w:r>
      <w:hyperlink r:id="rId14" w:history="1">
        <w:r w:rsidRPr="008C6A9F">
          <w:rPr>
            <w:rStyle w:val="Hyperlink"/>
          </w:rPr>
          <w:t>http://canlii.ca/t/h5tmg</w:t>
        </w:r>
      </w:hyperlink>
      <w:r>
        <w:t xml:space="preserve"> , on appeal (regarding a woman with multiple sclerosis in a continuous battle to obtain legal aid for her disability discrimination in employment claim before the human rights tribunal. At issue is whether the Legal Services Commission’s blanket policy to not provide legal aid for matters</w:t>
      </w:r>
      <w:r w:rsidRPr="00A57918">
        <w:t xml:space="preserve"> </w:t>
      </w:r>
      <w:r>
        <w:t>before the human rights tribunal causes systemic discrimination to people with disabilities; also at issue is whether legal aid assistance should be provided by the Human Rights Commission).</w:t>
      </w:r>
    </w:p>
  </w:footnote>
  <w:footnote w:id="18">
    <w:p w:rsidR="00A93AD4" w:rsidRDefault="00A93AD4" w:rsidP="009F20E1">
      <w:pPr>
        <w:pStyle w:val="FootnoteText"/>
      </w:pPr>
      <w:r>
        <w:rPr>
          <w:rStyle w:val="FootnoteReference"/>
        </w:rPr>
        <w:footnoteRef/>
      </w:r>
      <w:r>
        <w:t xml:space="preserve"> This problem may be contrary to the CRPD, article 13(1) on access to justice, which states: "</w:t>
      </w:r>
      <w:r w:rsidRPr="009F20E1">
        <w:t xml:space="preserve"> </w:t>
      </w:r>
      <w:r>
        <w:t>1. States Parties shall ensure effective access to justice for persons with disabilities on an equal basis with others, including through the provision of procedural and age-appropriate accommodations, in order to facilitate their effective role as direct and indirect participants, including as witnesses, in all legal proceedings, including at investigative and other preliminary stages.”</w:t>
      </w:r>
    </w:p>
  </w:footnote>
  <w:footnote w:id="19">
    <w:p w:rsidR="00A93AD4" w:rsidRDefault="00A93AD4" w:rsidP="00FD1001">
      <w:pPr>
        <w:pStyle w:val="FootnoteText"/>
      </w:pPr>
      <w:r>
        <w:rPr>
          <w:rStyle w:val="FootnoteReference"/>
        </w:rPr>
        <w:footnoteRef/>
      </w:r>
      <w:r>
        <w:t xml:space="preserve"> See the Supreme Court of Canada case of</w:t>
      </w:r>
      <w:r w:rsidRPr="00FD1001">
        <w:t xml:space="preserve"> </w:t>
      </w:r>
      <w:r w:rsidRPr="00FD1001">
        <w:rPr>
          <w:i/>
        </w:rPr>
        <w:t>Eldridge v British Columbia (Attorney General)</w:t>
      </w:r>
      <w:r>
        <w:t xml:space="preserve"> </w:t>
      </w:r>
      <w:r w:rsidRPr="00FD1001">
        <w:t>[1997] 3 SCR 624</w:t>
      </w:r>
      <w:r>
        <w:t xml:space="preserve"> further to which the government took considerable time to implement interpretation services for the Deaf community in hospitals.</w:t>
      </w:r>
    </w:p>
  </w:footnote>
  <w:footnote w:id="20">
    <w:p w:rsidR="00A93AD4" w:rsidRDefault="00A93AD4">
      <w:pPr>
        <w:pStyle w:val="FootnoteText"/>
      </w:pPr>
      <w:r>
        <w:rPr>
          <w:rStyle w:val="FootnoteReference"/>
        </w:rPr>
        <w:footnoteRef/>
      </w:r>
      <w:r>
        <w:t xml:space="preserve"> </w:t>
      </w:r>
      <w:r w:rsidRPr="00DD011B">
        <w:rPr>
          <w:i/>
          <w:lang w:val="en-US"/>
        </w:rPr>
        <w:t>Americans with Disabilities Act</w:t>
      </w:r>
      <w:r>
        <w:t xml:space="preserve"> (</w:t>
      </w:r>
      <w:r w:rsidRPr="00222008">
        <w:t xml:space="preserve">as amended by </w:t>
      </w:r>
      <w:r w:rsidRPr="00222008">
        <w:rPr>
          <w:i/>
        </w:rPr>
        <w:t xml:space="preserve">ADA Amendments Act </w:t>
      </w:r>
      <w:r w:rsidRPr="00222008">
        <w:t>of 2008), 4</w:t>
      </w:r>
      <w:r>
        <w:t xml:space="preserve">2 USCS, online:  </w:t>
      </w:r>
      <w:hyperlink r:id="rId15" w:history="1">
        <w:r>
          <w:rPr>
            <w:rStyle w:val="Hyperlink"/>
          </w:rPr>
          <w:t>https://www.ada.gov/pubs/adastatute08.htm</w:t>
        </w:r>
      </w:hyperlink>
      <w:r>
        <w:t>.</w:t>
      </w:r>
    </w:p>
  </w:footnote>
  <w:footnote w:id="21">
    <w:p w:rsidR="00A93AD4" w:rsidRDefault="00A93AD4">
      <w:pPr>
        <w:pStyle w:val="FootnoteText"/>
      </w:pPr>
      <w:r>
        <w:rPr>
          <w:rStyle w:val="FootnoteReference"/>
        </w:rPr>
        <w:footnoteRef/>
      </w:r>
      <w:r>
        <w:t xml:space="preserve"> More on the Access Board may be found on its website:  </w:t>
      </w:r>
      <w:hyperlink r:id="rId16" w:history="1">
        <w:r w:rsidRPr="007B3005">
          <w:rPr>
            <w:rStyle w:val="Hyperlink"/>
          </w:rPr>
          <w:t>https://www.access-board.gov/the-board</w:t>
        </w:r>
      </w:hyperlink>
      <w:r>
        <w:t xml:space="preserve"> .</w:t>
      </w:r>
    </w:p>
  </w:footnote>
  <w:footnote w:id="22">
    <w:p w:rsidR="00A93AD4" w:rsidRDefault="00A93AD4">
      <w:pPr>
        <w:pStyle w:val="FootnoteText"/>
      </w:pPr>
      <w:r>
        <w:rPr>
          <w:rStyle w:val="FootnoteReference"/>
        </w:rPr>
        <w:footnoteRef/>
      </w:r>
      <w:r>
        <w:t xml:space="preserve"> See CRPD, Preamble o) and Art. 4(3).</w:t>
      </w:r>
    </w:p>
  </w:footnote>
  <w:footnote w:id="23">
    <w:p w:rsidR="00A93AD4" w:rsidRDefault="00A93AD4">
      <w:pPr>
        <w:pStyle w:val="FootnoteText"/>
      </w:pPr>
      <w:r>
        <w:rPr>
          <w:rStyle w:val="FootnoteReference"/>
        </w:rPr>
        <w:footnoteRef/>
      </w:r>
      <w:r>
        <w:t xml:space="preserve"> </w:t>
      </w:r>
      <w:r w:rsidRPr="00840876">
        <w:rPr>
          <w:i/>
          <w:iCs/>
          <w:lang w:val="en"/>
        </w:rPr>
        <w:t>Ontarians with Disabilities Act, 2001</w:t>
      </w:r>
      <w:r w:rsidRPr="00840876">
        <w:rPr>
          <w:lang w:val="en"/>
        </w:rPr>
        <w:t>, SO 2001, c 32</w:t>
      </w:r>
      <w:r>
        <w:rPr>
          <w:lang w:val="en"/>
        </w:rPr>
        <w:t xml:space="preserve">, online: </w:t>
      </w:r>
      <w:hyperlink r:id="rId17" w:history="1">
        <w:r w:rsidRPr="00627D03">
          <w:rPr>
            <w:rStyle w:val="Hyperlink"/>
            <w:lang w:val="en"/>
          </w:rPr>
          <w:t>https://www.ontario.ca/laws/statute/01o32</w:t>
        </w:r>
      </w:hyperlink>
      <w:r>
        <w:rPr>
          <w:lang w:val="en"/>
        </w:rPr>
        <w:t xml:space="preserve">  </w:t>
      </w:r>
      <w:r w:rsidRPr="00840876">
        <w:rPr>
          <w:lang w:val="en"/>
        </w:rPr>
        <w:t xml:space="preserve">.  </w:t>
      </w:r>
      <w:r>
        <w:t>This statute has had sections repealed and will be repealed fully on a date to be set by the legislature.</w:t>
      </w:r>
      <w:r w:rsidRPr="00840876">
        <w:rPr>
          <w:lang w:val="en"/>
        </w:rPr>
        <w:t xml:space="preserve"> See: </w:t>
      </w:r>
      <w:r w:rsidRPr="00840876">
        <w:rPr>
          <w:i/>
          <w:iCs/>
          <w:lang w:val="en"/>
        </w:rPr>
        <w:t>Accessibility for Ontarians with Disabilities Act, 2005</w:t>
      </w:r>
      <w:r w:rsidRPr="00840876">
        <w:rPr>
          <w:lang w:val="en"/>
        </w:rPr>
        <w:t>, SO 2005, c </w:t>
      </w:r>
      <w:r>
        <w:rPr>
          <w:lang w:val="en"/>
        </w:rPr>
        <w:t xml:space="preserve">11, s 42, online: </w:t>
      </w:r>
      <w:r w:rsidRPr="00840876">
        <w:rPr>
          <w:lang w:val="en"/>
        </w:rPr>
        <w:t xml:space="preserve"> </w:t>
      </w:r>
      <w:hyperlink r:id="rId18" w:history="1">
        <w:r w:rsidRPr="00840876">
          <w:rPr>
            <w:rStyle w:val="Hyperlink"/>
            <w:lang w:val="en"/>
          </w:rPr>
          <w:t>https://www.ontario.ca/laws/statute/01o32</w:t>
        </w:r>
      </w:hyperlink>
      <w:r>
        <w:t xml:space="preserve"> .</w:t>
      </w:r>
    </w:p>
  </w:footnote>
  <w:footnote w:id="24">
    <w:p w:rsidR="00A93AD4" w:rsidRDefault="00A93AD4">
      <w:pPr>
        <w:pStyle w:val="FootnoteText"/>
      </w:pPr>
      <w:r>
        <w:rPr>
          <w:rStyle w:val="FootnoteReference"/>
        </w:rPr>
        <w:footnoteRef/>
      </w:r>
      <w:r w:rsidRPr="00840876">
        <w:rPr>
          <w:lang w:val="en"/>
        </w:rPr>
        <w:t xml:space="preserve"> SO 2005, c </w:t>
      </w:r>
      <w:r>
        <w:rPr>
          <w:lang w:val="en"/>
        </w:rPr>
        <w:t>11 (AODA).</w:t>
      </w:r>
    </w:p>
  </w:footnote>
  <w:footnote w:id="25">
    <w:p w:rsidR="00A93AD4" w:rsidRDefault="00A93AD4">
      <w:pPr>
        <w:pStyle w:val="FootnoteText"/>
      </w:pPr>
      <w:r>
        <w:rPr>
          <w:rStyle w:val="FootnoteReference"/>
        </w:rPr>
        <w:footnoteRef/>
      </w:r>
      <w:r>
        <w:t xml:space="preserve"> </w:t>
      </w:r>
      <w:r w:rsidRPr="001F0B4C">
        <w:t xml:space="preserve">CCSM c A1.7 </w:t>
      </w:r>
      <w:r>
        <w:t>(</w:t>
      </w:r>
      <w:r w:rsidRPr="001F0B4C">
        <w:t>AMA</w:t>
      </w:r>
      <w:r>
        <w:t>)</w:t>
      </w:r>
      <w:r w:rsidRPr="001F0B4C">
        <w:t>.</w:t>
      </w:r>
    </w:p>
  </w:footnote>
  <w:footnote w:id="26">
    <w:p w:rsidR="00A93AD4" w:rsidRDefault="00A93AD4">
      <w:pPr>
        <w:pStyle w:val="FootnoteText"/>
      </w:pPr>
      <w:r>
        <w:rPr>
          <w:rStyle w:val="FootnoteReference"/>
        </w:rPr>
        <w:footnoteRef/>
      </w:r>
      <w:r>
        <w:rPr>
          <w:rFonts w:cstheme="minorHAnsi"/>
          <w:i/>
        </w:rPr>
        <w:t xml:space="preserve"> Accessibility Act</w:t>
      </w:r>
      <w:r>
        <w:rPr>
          <w:rFonts w:cstheme="minorHAnsi"/>
        </w:rPr>
        <w:t>, SNS 2017 c 2 (NSAA).</w:t>
      </w:r>
    </w:p>
  </w:footnote>
  <w:footnote w:id="27">
    <w:p w:rsidR="00A93AD4" w:rsidRDefault="00A93AD4">
      <w:pPr>
        <w:pStyle w:val="FootnoteText"/>
      </w:pPr>
      <w:r>
        <w:rPr>
          <w:rStyle w:val="FootnoteReference"/>
        </w:rPr>
        <w:footnoteRef/>
      </w:r>
      <w:r>
        <w:t xml:space="preserve"> See eg AODA, s 3.</w:t>
      </w:r>
    </w:p>
  </w:footnote>
  <w:footnote w:id="28">
    <w:p w:rsidR="00A93AD4" w:rsidRPr="00B04255" w:rsidRDefault="00A93AD4" w:rsidP="00B04255">
      <w:pPr>
        <w:pStyle w:val="FootnoteText"/>
        <w:rPr>
          <w:bCs/>
          <w:i/>
          <w:lang w:val="en-AU"/>
        </w:rPr>
      </w:pPr>
      <w:r>
        <w:rPr>
          <w:rStyle w:val="FootnoteReference"/>
        </w:rPr>
        <w:footnoteRef/>
      </w:r>
      <w:r>
        <w:t xml:space="preserve"> </w:t>
      </w:r>
      <w:r w:rsidRPr="00BF47CA">
        <w:t>In Australia, three standards have been developed, for Transport, Education and Premises.</w:t>
      </w:r>
      <w:r>
        <w:t xml:space="preserve"> See </w:t>
      </w:r>
      <w:bookmarkStart w:id="9" w:name="Citation"/>
      <w:r w:rsidRPr="00B04255">
        <w:rPr>
          <w:bCs/>
          <w:i/>
          <w:lang w:val="en-US"/>
        </w:rPr>
        <w:t xml:space="preserve">Disability (Access to Premises — Buildings) Standards 2010 (Cth), </w:t>
      </w:r>
      <w:r w:rsidRPr="00B04255">
        <w:rPr>
          <w:bCs/>
          <w:lang w:val="en-US"/>
        </w:rPr>
        <w:t xml:space="preserve">online: </w:t>
      </w:r>
      <w:hyperlink r:id="rId19" w:history="1">
        <w:r w:rsidRPr="00B04255">
          <w:rPr>
            <w:rStyle w:val="Hyperlink"/>
            <w:bCs/>
            <w:lang w:val="en-US"/>
          </w:rPr>
          <w:t>https://www.legislation.gov.au/Details/F2011C00214</w:t>
        </w:r>
      </w:hyperlink>
      <w:r w:rsidRPr="00B04255">
        <w:rPr>
          <w:bCs/>
          <w:lang w:val="en-US"/>
        </w:rPr>
        <w:t xml:space="preserve"> </w:t>
      </w:r>
      <w:r>
        <w:rPr>
          <w:bCs/>
          <w:lang w:val="en-US"/>
        </w:rPr>
        <w:t>,</w:t>
      </w:r>
    </w:p>
    <w:p w:rsidR="00A93AD4" w:rsidRDefault="00A93AD4" w:rsidP="003E5259">
      <w:pPr>
        <w:pStyle w:val="FootnoteText"/>
      </w:pPr>
      <w:r w:rsidRPr="00B04255">
        <w:rPr>
          <w:bCs/>
          <w:i/>
          <w:lang w:val="en-AU"/>
        </w:rPr>
        <w:t>Disability Standards for Accessible Public Transport 2002</w:t>
      </w:r>
      <w:bookmarkEnd w:id="9"/>
      <w:r w:rsidRPr="00B04255">
        <w:rPr>
          <w:bCs/>
          <w:i/>
          <w:lang w:val="en-AU"/>
        </w:rPr>
        <w:t xml:space="preserve">, </w:t>
      </w:r>
      <w:r w:rsidRPr="00B04255">
        <w:rPr>
          <w:bCs/>
          <w:i/>
          <w:lang w:val="en-US"/>
        </w:rPr>
        <w:t xml:space="preserve">as amended (Cth), </w:t>
      </w:r>
      <w:r w:rsidRPr="00B04255">
        <w:rPr>
          <w:bCs/>
          <w:lang w:val="en-US"/>
        </w:rPr>
        <w:t xml:space="preserve">online: </w:t>
      </w:r>
      <w:hyperlink r:id="rId20" w:history="1">
        <w:r w:rsidRPr="00B04255">
          <w:rPr>
            <w:rStyle w:val="Hyperlink"/>
            <w:bCs/>
            <w:lang w:val="en-US"/>
          </w:rPr>
          <w:t>https://www.legislation.gov.au/Details/F2011C00213</w:t>
        </w:r>
      </w:hyperlink>
      <w:r>
        <w:rPr>
          <w:bCs/>
          <w:lang w:val="en-US"/>
        </w:rPr>
        <w:t xml:space="preserve"> , </w:t>
      </w:r>
      <w:r w:rsidRPr="00B04255">
        <w:rPr>
          <w:bCs/>
          <w:i/>
        </w:rPr>
        <w:t>Disability Standards for Education 2005</w:t>
      </w:r>
      <w:r w:rsidRPr="00B04255">
        <w:rPr>
          <w:bCs/>
          <w:i/>
          <w:lang w:val="en-US"/>
        </w:rPr>
        <w:t xml:space="preserve"> (Cth)</w:t>
      </w:r>
      <w:r>
        <w:rPr>
          <w:bCs/>
          <w:lang w:val="en-US"/>
        </w:rPr>
        <w:t xml:space="preserve">, </w:t>
      </w:r>
      <w:r w:rsidRPr="00B04255">
        <w:rPr>
          <w:bCs/>
          <w:lang w:val="en-US"/>
        </w:rPr>
        <w:t xml:space="preserve">online: </w:t>
      </w:r>
      <w:hyperlink r:id="rId21" w:history="1">
        <w:r w:rsidRPr="00B04255">
          <w:rPr>
            <w:rStyle w:val="Hyperlink"/>
            <w:bCs/>
            <w:lang w:val="en-US"/>
          </w:rPr>
          <w:t>https://www.legislation.gov.au/Details/F2005L00767</w:t>
        </w:r>
      </w:hyperlink>
      <w:r w:rsidRPr="00B04255">
        <w:rPr>
          <w:bCs/>
          <w:lang w:val="en-US"/>
        </w:rPr>
        <w:t xml:space="preserve"> </w:t>
      </w:r>
      <w:r w:rsidRPr="00B04255">
        <w:rPr>
          <w:bCs/>
        </w:rPr>
        <w:t>.</w:t>
      </w:r>
    </w:p>
  </w:footnote>
  <w:footnote w:id="29">
    <w:p w:rsidR="00A93AD4" w:rsidRDefault="00A93AD4">
      <w:pPr>
        <w:pStyle w:val="FootnoteText"/>
      </w:pPr>
      <w:r>
        <w:rPr>
          <w:rStyle w:val="FootnoteReference"/>
        </w:rPr>
        <w:footnoteRef/>
      </w:r>
      <w:r>
        <w:t xml:space="preserve"> See </w:t>
      </w:r>
      <w:r w:rsidRPr="00985D64">
        <w:t>Mayo Moran</w:t>
      </w:r>
      <w:r>
        <w:t>,</w:t>
      </w:r>
      <w:r w:rsidRPr="00985D64">
        <w:rPr>
          <w:i/>
        </w:rPr>
        <w:t xml:space="preserve"> Second Legislative Review of the </w:t>
      </w:r>
      <w:r w:rsidRPr="00985D64">
        <w:t>Accessibility for Ontarians with Disabilities Act, 2005</w:t>
      </w:r>
      <w:r>
        <w:t xml:space="preserve"> (Release date: November, 2014), online:  </w:t>
      </w:r>
      <w:hyperlink r:id="rId22" w:history="1">
        <w:r w:rsidRPr="00922325">
          <w:rPr>
            <w:rStyle w:val="Hyperlink"/>
          </w:rPr>
          <w:t>https://www.ontario.ca/document/legislative-review-accessibility-ontarians-disabilities-act</w:t>
        </w:r>
      </w:hyperlink>
      <w:r>
        <w:t xml:space="preserve"> ).</w:t>
      </w:r>
    </w:p>
  </w:footnote>
  <w:footnote w:id="30">
    <w:p w:rsidR="00A93AD4" w:rsidRDefault="00A93AD4" w:rsidP="00A00558">
      <w:pPr>
        <w:pStyle w:val="FootnoteText"/>
      </w:pPr>
      <w:r>
        <w:rPr>
          <w:rStyle w:val="FootnoteReference"/>
        </w:rPr>
        <w:footnoteRef/>
      </w:r>
      <w:r>
        <w:t xml:space="preserve"> See ADA </w:t>
      </w:r>
      <w:r>
        <w:rPr>
          <w:color w:val="000000"/>
        </w:rPr>
        <w:t>§12201(b). See also the</w:t>
      </w:r>
      <w:r w:rsidRPr="00A00558">
        <w:rPr>
          <w:color w:val="000000"/>
        </w:rPr>
        <w:t xml:space="preserve"> </w:t>
      </w:r>
      <w:r w:rsidRPr="00A00558">
        <w:rPr>
          <w:i/>
          <w:iCs/>
          <w:color w:val="000000"/>
        </w:rPr>
        <w:t>Accessibility for Manitobans Act</w:t>
      </w:r>
      <w:r w:rsidRPr="00A00558">
        <w:rPr>
          <w:color w:val="000000"/>
        </w:rPr>
        <w:t>, SM 2013 c 40, CCSM c A1.7 [</w:t>
      </w:r>
      <w:r w:rsidRPr="00A00558">
        <w:rPr>
          <w:i/>
          <w:iCs/>
          <w:color w:val="000000"/>
        </w:rPr>
        <w:t>AMA</w:t>
      </w:r>
      <w:r w:rsidRPr="00A00558">
        <w:rPr>
          <w:color w:val="000000"/>
        </w:rPr>
        <w:t xml:space="preserve">] </w:t>
      </w:r>
      <w:r w:rsidRPr="00BC6891">
        <w:rPr>
          <w:color w:val="000000"/>
        </w:rPr>
        <w:t>at s 21</w:t>
      </w:r>
      <w:r>
        <w:rPr>
          <w:color w:val="000000"/>
        </w:rPr>
        <w:t>.</w:t>
      </w:r>
    </w:p>
  </w:footnote>
  <w:footnote w:id="31">
    <w:p w:rsidR="00A93AD4" w:rsidRDefault="00A93AD4">
      <w:pPr>
        <w:pStyle w:val="FootnoteText"/>
      </w:pPr>
      <w:r>
        <w:rPr>
          <w:rStyle w:val="FootnoteReference"/>
        </w:rPr>
        <w:footnoteRef/>
      </w:r>
      <w:r>
        <w:t xml:space="preserve"> Such centres exist in the US in relation to the ADA. See the</w:t>
      </w:r>
      <w:r w:rsidRPr="00B74DE8">
        <w:t xml:space="preserve"> </w:t>
      </w:r>
      <w:r>
        <w:t xml:space="preserve">ADA National Network – </w:t>
      </w:r>
      <w:hyperlink r:id="rId23" w:history="1">
        <w:r w:rsidRPr="00080D00">
          <w:rPr>
            <w:rStyle w:val="Hyperlink"/>
          </w:rPr>
          <w:t>https://adata.org/</w:t>
        </w:r>
      </w:hyperlink>
      <w:r>
        <w:t xml:space="preserve"> . </w:t>
      </w:r>
    </w:p>
  </w:footnote>
  <w:footnote w:id="32">
    <w:p w:rsidR="00A93AD4" w:rsidRDefault="00A93AD4" w:rsidP="00E01089">
      <w:pPr>
        <w:pStyle w:val="FootnoteText"/>
      </w:pPr>
      <w:r>
        <w:rPr>
          <w:rStyle w:val="FootnoteReference"/>
        </w:rPr>
        <w:footnoteRef/>
      </w:r>
      <w:r>
        <w:t xml:space="preserve"> [2013] FCA 217.</w:t>
      </w:r>
    </w:p>
  </w:footnote>
  <w:footnote w:id="33">
    <w:p w:rsidR="00A93AD4" w:rsidRDefault="00A93AD4">
      <w:pPr>
        <w:pStyle w:val="FootnoteText"/>
      </w:pPr>
      <w:r>
        <w:rPr>
          <w:rStyle w:val="FootnoteReference"/>
        </w:rPr>
        <w:footnoteRef/>
      </w:r>
      <w:r>
        <w:t xml:space="preserve">  Indeed, in interviews for this study, when the theoretical prospect of placing standards within the human rights agencies, the idea was generally met with confusion or resistance because of the move away from a reactive system that had prompted the standard-setting movement in the first place.</w:t>
      </w:r>
    </w:p>
  </w:footnote>
  <w:footnote w:id="34">
    <w:p w:rsidR="00A93AD4" w:rsidRPr="00812149" w:rsidRDefault="00A93AD4">
      <w:pPr>
        <w:pStyle w:val="FootnoteText"/>
      </w:pPr>
      <w:r>
        <w:rPr>
          <w:rStyle w:val="FootnoteReference"/>
        </w:rPr>
        <w:footnoteRef/>
      </w:r>
      <w:r>
        <w:t xml:space="preserve"> See attached tables in Appendix B. Likely due to the longer period of time during which the AODA has been in place, the province of Ontario has a much more robust set of processes and procedures</w:t>
      </w:r>
      <w:r w:rsidRPr="0002573C">
        <w:t xml:space="preserve"> </w:t>
      </w:r>
      <w:r>
        <w:t xml:space="preserve">than Manitoba for monitoring compliance reporting. Reporting can be done through an online system and a number of guidance documents have been produced by the Compliance and Enforcement Branch of the Accessibility Directorate of Ontario. These documents provide information to persons and organizations completing reports and include informational webpages (see, for example,  </w:t>
      </w:r>
      <w:r w:rsidRPr="00812149">
        <w:t>“Accessible workplaces”</w:t>
      </w:r>
      <w:r>
        <w:t xml:space="preserve">, online: </w:t>
      </w:r>
      <w:hyperlink r:id="rId24" w:history="1">
        <w:r w:rsidRPr="00FD7E57">
          <w:rPr>
            <w:rStyle w:val="Hyperlink"/>
          </w:rPr>
          <w:t>https://www.ontario.ca/page/accessible-workplaces</w:t>
        </w:r>
      </w:hyperlink>
      <w:r>
        <w:t>) and guides (see, for example,</w:t>
      </w:r>
      <w:r w:rsidRPr="00812149">
        <w:rPr>
          <w:i/>
          <w:sz w:val="22"/>
          <w:szCs w:val="22"/>
          <w:lang w:val="en-US"/>
        </w:rPr>
        <w:t xml:space="preserve"> </w:t>
      </w:r>
      <w:r w:rsidRPr="00812149">
        <w:rPr>
          <w:i/>
          <w:lang w:val="en-US"/>
        </w:rPr>
        <w:t>A Guide to the Integrated Accessibility Standards Regulation</w:t>
      </w:r>
      <w:r>
        <w:rPr>
          <w:lang w:val="en-US"/>
        </w:rPr>
        <w:t xml:space="preserve">, online:  </w:t>
      </w:r>
      <w:hyperlink r:id="rId25" w:history="1">
        <w:r w:rsidRPr="007D1E04">
          <w:rPr>
            <w:rStyle w:val="Hyperlink"/>
          </w:rPr>
          <w:t>https://dr6j45jk9xcmk.cloudfront.net/documents/4845/guidelines-to-iasr-english.pdf</w:t>
        </w:r>
      </w:hyperlink>
      <w:r>
        <w:t xml:space="preserve"> .</w:t>
      </w:r>
    </w:p>
  </w:footnote>
  <w:footnote w:id="35">
    <w:p w:rsidR="00A93AD4" w:rsidRDefault="00A93AD4">
      <w:pPr>
        <w:pStyle w:val="FootnoteText"/>
      </w:pPr>
      <w:r>
        <w:rPr>
          <w:rStyle w:val="FootnoteReference"/>
        </w:rPr>
        <w:footnoteRef/>
      </w:r>
      <w:r>
        <w:t xml:space="preserve">See eg  Laurie Monsebraaten, “Ontario vows to enforce accessibility law: Businesses flout requirements to report on how they are meeting needs of customers with disabilities, while enforcement strategy lags” Toronto Star, February 20, 2014 (online:  </w:t>
      </w:r>
      <w:hyperlink r:id="rId26" w:history="1">
        <w:r w:rsidRPr="004D39A6">
          <w:rPr>
            <w:rStyle w:val="Hyperlink"/>
          </w:rPr>
          <w:t>https://www.thestar.com/news/gta/2014/02/20/ontario_vows_to_enforce_accessibility_law.html</w:t>
        </w:r>
      </w:hyperlink>
      <w:r>
        <w:t xml:space="preserve"> </w:t>
      </w:r>
      <w:hyperlink r:id="rId27" w:history="1"/>
      <w:r>
        <w:t xml:space="preserve"> ).  </w:t>
      </w:r>
    </w:p>
  </w:footnote>
  <w:footnote w:id="36">
    <w:p w:rsidR="00A93AD4" w:rsidRDefault="00A93AD4">
      <w:pPr>
        <w:pStyle w:val="FootnoteText"/>
      </w:pPr>
      <w:r>
        <w:rPr>
          <w:rStyle w:val="FootnoteReference"/>
        </w:rPr>
        <w:footnoteRef/>
      </w:r>
      <w:bookmarkStart w:id="12" w:name="OLE_LINK1"/>
      <w:r>
        <w:t xml:space="preserve"> See “</w:t>
      </w:r>
      <w:r w:rsidRPr="0059164E">
        <w:t>Accessibility compliance reporting activities and trends for 2016</w:t>
      </w:r>
      <w:r>
        <w:t xml:space="preserve">” in Government of Ontario, </w:t>
      </w:r>
      <w:r w:rsidRPr="0059164E">
        <w:rPr>
          <w:i/>
        </w:rPr>
        <w:t>Accessibility compliance and enforcement report 2016</w:t>
      </w:r>
      <w:r>
        <w:t xml:space="preserve"> (online: </w:t>
      </w:r>
      <w:hyperlink r:id="rId28" w:history="1">
        <w:r w:rsidRPr="004D39A6">
          <w:rPr>
            <w:rStyle w:val="Hyperlink"/>
          </w:rPr>
          <w:t>https://www.ontario.ca/page/accessibility-compliance-and-enforcement-report-2016</w:t>
        </w:r>
      </w:hyperlink>
      <w:r>
        <w:t xml:space="preserve"> ). </w:t>
      </w:r>
      <w:bookmarkEnd w:id="12"/>
      <w:r>
        <w:t>In total there were 1205 Phase 1 audits (i.e. those that focus on ensuring that</w:t>
      </w:r>
      <w:r w:rsidRPr="00F06679">
        <w:t xml:space="preserve"> </w:t>
      </w:r>
      <w:r>
        <w:t xml:space="preserve">organizations have submitted their </w:t>
      </w:r>
      <w:r w:rsidRPr="00F06679">
        <w:t xml:space="preserve">self-certified </w:t>
      </w:r>
      <w:r>
        <w:t>accessibility compliance reports) and 361 Phase 2 audits (i.e. those in which "</w:t>
      </w:r>
      <w:r w:rsidRPr="004C49DD">
        <w:t>documents are requested and reviewed for the purposes of verifying compliance with other requirements beyond reporting</w:t>
      </w:r>
      <w:r>
        <w:t>”) conducted in 2016.</w:t>
      </w:r>
    </w:p>
  </w:footnote>
  <w:footnote w:id="37">
    <w:p w:rsidR="00A93AD4" w:rsidRDefault="00A93AD4">
      <w:pPr>
        <w:pStyle w:val="FootnoteText"/>
      </w:pPr>
      <w:r>
        <w:rPr>
          <w:rStyle w:val="FootnoteReference"/>
        </w:rPr>
        <w:footnoteRef/>
      </w:r>
      <w:r>
        <w:t xml:space="preserve"> This has been noted this elsewhere. Please see Laverne Jacobs, </w:t>
      </w:r>
      <w:r w:rsidRPr="00BF6F9D">
        <w:t>V</w:t>
      </w:r>
      <w:r>
        <w:t>ictoria</w:t>
      </w:r>
      <w:r w:rsidRPr="00BF6F9D">
        <w:t xml:space="preserve"> Cino and B</w:t>
      </w:r>
      <w:r>
        <w:t>ritney</w:t>
      </w:r>
      <w:r w:rsidRPr="00BF6F9D">
        <w:t xml:space="preserve"> DeCosta</w:t>
      </w:r>
      <w:r>
        <w:t xml:space="preserve">, </w:t>
      </w:r>
      <w:r w:rsidRPr="007D1C71">
        <w:t xml:space="preserve">"The </w:t>
      </w:r>
      <w:r w:rsidRPr="007D1C71">
        <w:rPr>
          <w:i/>
          <w:iCs/>
        </w:rPr>
        <w:t>Accessibility for Manitobans Act</w:t>
      </w:r>
      <w:r w:rsidRPr="007D1C71">
        <w:t>: Ambitions and Achievements in Antidiscrimination and Citizen Participation”</w:t>
      </w:r>
      <w:r w:rsidRPr="00BF6F9D">
        <w:t>,</w:t>
      </w:r>
      <w:r w:rsidRPr="007D1C71">
        <w:t xml:space="preserve"> </w:t>
      </w:r>
      <w:r w:rsidRPr="00BF6F9D">
        <w:t xml:space="preserve">(2016) </w:t>
      </w:r>
      <w:r>
        <w:t>5</w:t>
      </w:r>
      <w:r w:rsidRPr="00BF6F9D">
        <w:t xml:space="preserve"> </w:t>
      </w:r>
      <w:r w:rsidRPr="007D1C71">
        <w:rPr>
          <w:iCs/>
        </w:rPr>
        <w:t>Canadian Journal of Disability Studies</w:t>
      </w:r>
      <w:r>
        <w:t xml:space="preserve"> 1, online: </w:t>
      </w:r>
      <w:hyperlink r:id="rId29" w:history="1">
        <w:r w:rsidRPr="003D6D02">
          <w:rPr>
            <w:rStyle w:val="Hyperlink"/>
          </w:rPr>
          <w:t>http://cjds.uwaterloo.ca/index.php/cjds/article/view/313</w:t>
        </w:r>
      </w:hyperlink>
      <w:r>
        <w:t xml:space="preserve"> </w:t>
      </w:r>
      <w:r w:rsidRPr="00BF6F9D">
        <w:t>.</w:t>
      </w:r>
    </w:p>
  </w:footnote>
  <w:footnote w:id="38">
    <w:p w:rsidR="00A93AD4" w:rsidRDefault="00A93AD4">
      <w:pPr>
        <w:pStyle w:val="FootnoteText"/>
      </w:pPr>
      <w:r>
        <w:rPr>
          <w:rStyle w:val="FootnoteReference"/>
        </w:rPr>
        <w:footnoteRef/>
      </w:r>
      <w:r>
        <w:t xml:space="preserve"> See</w:t>
      </w:r>
      <w:r w:rsidRPr="00EC656B">
        <w:rPr>
          <w:rFonts w:cstheme="minorHAnsi"/>
        </w:rPr>
        <w:t xml:space="preserve"> </w:t>
      </w:r>
      <w:r w:rsidRPr="00EC656B">
        <w:rPr>
          <w:rFonts w:cstheme="minorHAnsi"/>
          <w:i/>
        </w:rPr>
        <w:t>Accessibility Act</w:t>
      </w:r>
      <w:r w:rsidRPr="00EC656B">
        <w:rPr>
          <w:rFonts w:cstheme="minorHAnsi"/>
        </w:rPr>
        <w:t>, S</w:t>
      </w:r>
      <w:r>
        <w:rPr>
          <w:rFonts w:cstheme="minorHAnsi"/>
        </w:rPr>
        <w:t>NS</w:t>
      </w:r>
      <w:r w:rsidRPr="00EC656B">
        <w:rPr>
          <w:rFonts w:cstheme="minorHAnsi"/>
        </w:rPr>
        <w:t xml:space="preserve"> 201</w:t>
      </w:r>
      <w:r>
        <w:rPr>
          <w:rFonts w:cstheme="minorHAnsi"/>
        </w:rPr>
        <w:t>7</w:t>
      </w:r>
      <w:r w:rsidRPr="00EC656B">
        <w:rPr>
          <w:rFonts w:cstheme="minorHAnsi"/>
        </w:rPr>
        <w:t xml:space="preserve"> c</w:t>
      </w:r>
      <w:r>
        <w:rPr>
          <w:rFonts w:cstheme="minorHAnsi"/>
        </w:rPr>
        <w:t xml:space="preserve"> 2, s 48.</w:t>
      </w:r>
    </w:p>
  </w:footnote>
  <w:footnote w:id="39">
    <w:p w:rsidR="00A93AD4" w:rsidRDefault="00A93AD4">
      <w:pPr>
        <w:pStyle w:val="FootnoteText"/>
      </w:pPr>
      <w:r>
        <w:rPr>
          <w:rStyle w:val="FootnoteReference"/>
        </w:rPr>
        <w:footnoteRef/>
      </w:r>
      <w:r>
        <w:t xml:space="preserve"> See “</w:t>
      </w:r>
      <w:r w:rsidRPr="0059164E">
        <w:t>Accessibility compliance reporting activities and trends for 2016</w:t>
      </w:r>
      <w:r>
        <w:t xml:space="preserve">” in Government of Ontario, </w:t>
      </w:r>
      <w:r w:rsidRPr="0059164E">
        <w:rPr>
          <w:i/>
        </w:rPr>
        <w:t>Accessibility compliance and enforcement report 2016</w:t>
      </w:r>
      <w:r>
        <w:t xml:space="preserve"> (online: </w:t>
      </w:r>
      <w:hyperlink r:id="rId30" w:history="1">
        <w:r w:rsidRPr="004D39A6">
          <w:rPr>
            <w:rStyle w:val="Hyperlink"/>
          </w:rPr>
          <w:t>https://www.ontario.ca/page/accessibility-compliance-and-enforcement-report-2016</w:t>
        </w:r>
      </w:hyperlink>
      <w:r>
        <w:t xml:space="preserve"> ).</w:t>
      </w:r>
    </w:p>
  </w:footnote>
  <w:footnote w:id="40">
    <w:p w:rsidR="00A93AD4" w:rsidRDefault="00A93AD4">
      <w:pPr>
        <w:pStyle w:val="FootnoteText"/>
      </w:pPr>
      <w:r>
        <w:rPr>
          <w:rStyle w:val="FootnoteReference"/>
        </w:rPr>
        <w:footnoteRef/>
      </w:r>
      <w:r>
        <w:t xml:space="preserve"> </w:t>
      </w:r>
      <w:r w:rsidRPr="0095656C">
        <w:rPr>
          <w:i/>
        </w:rPr>
        <w:t>Ibid</w:t>
      </w:r>
      <w:r>
        <w:t>.</w:t>
      </w:r>
    </w:p>
  </w:footnote>
  <w:footnote w:id="41">
    <w:p w:rsidR="00A93AD4" w:rsidRDefault="00A93AD4">
      <w:pPr>
        <w:pStyle w:val="FootnoteText"/>
      </w:pPr>
      <w:r>
        <w:rPr>
          <w:rStyle w:val="FootnoteReference"/>
        </w:rPr>
        <w:footnoteRef/>
      </w:r>
      <w:r>
        <w:t xml:space="preserve"> Interview with John Wodatch, October 10, 2017. This comment was made generally with respect to compliance and enforcement and not with respect to auditing specifically. In fact, audits are not generally performed in the United States under the ADA, but rather only by a few states including Hawaii and Texas.</w:t>
      </w:r>
    </w:p>
  </w:footnote>
  <w:footnote w:id="42">
    <w:p w:rsidR="00A93AD4" w:rsidRPr="001B651D" w:rsidRDefault="00A93AD4">
      <w:pPr>
        <w:pStyle w:val="FootnoteText"/>
      </w:pPr>
      <w:r>
        <w:rPr>
          <w:rStyle w:val="FootnoteReference"/>
        </w:rPr>
        <w:footnoteRef/>
      </w:r>
      <w:r>
        <w:t xml:space="preserve"> The UK has a hybrid system. Standards for disability access may arise through "anticipatory reasonable adjustments" (specifically, under the </w:t>
      </w:r>
      <w:r w:rsidRPr="00637465">
        <w:rPr>
          <w:i/>
        </w:rPr>
        <w:t xml:space="preserve">Disability Discrimination Act, </w:t>
      </w:r>
      <w:r>
        <w:rPr>
          <w:i/>
        </w:rPr>
        <w:t>1995</w:t>
      </w:r>
      <w:r w:rsidRPr="00637465">
        <w:rPr>
          <w:i/>
        </w:rPr>
        <w:t xml:space="preserve"> </w:t>
      </w:r>
      <w:r>
        <w:t xml:space="preserve">(DDA, 2005) and the </w:t>
      </w:r>
      <w:r w:rsidRPr="00637465">
        <w:rPr>
          <w:i/>
        </w:rPr>
        <w:t>Equality Act, 2010</w:t>
      </w:r>
      <w:r>
        <w:t xml:space="preserve">). </w:t>
      </w:r>
      <w:r w:rsidRPr="00637465">
        <w:t>As interpreted through codes of practice and confirmed by the courts “anticipatory reasonable adjustments” are defined as modifications that must be made if it is foreseeable that practices, policies or procedures will pose barriers to persons with disabilities. Service providers may be required to provide assistive auxiliary aids and means to overcome obstacles created by the physical features of their buildings or premises if that is reasonable and readily achievable.</w:t>
      </w:r>
      <w:r>
        <w:t xml:space="preserve"> Anticipatory reasonable adjustments are generally identified and enforced through decisions rendered under the DDA or the</w:t>
      </w:r>
      <w:r w:rsidRPr="00DA3717">
        <w:rPr>
          <w:i/>
        </w:rPr>
        <w:t xml:space="preserve"> </w:t>
      </w:r>
      <w:r w:rsidRPr="00637465">
        <w:rPr>
          <w:i/>
        </w:rPr>
        <w:t>Equality Act</w:t>
      </w:r>
      <w:r>
        <w:t>. Standards for disability access may also be developed through regulations created under these statutes. Violations of these regulations are generally enforced as criminal prosecutions (see, for example,</w:t>
      </w:r>
      <w:r w:rsidRPr="001B651D">
        <w:rPr>
          <w:i/>
          <w:sz w:val="22"/>
          <w:szCs w:val="22"/>
        </w:rPr>
        <w:t xml:space="preserve"> </w:t>
      </w:r>
      <w:r w:rsidRPr="001B651D">
        <w:rPr>
          <w:i/>
        </w:rPr>
        <w:t>Rail Vehicle Accessibility (Non-Interoperable Rail System) Regulations 2010</w:t>
      </w:r>
      <w:r>
        <w:t>). In the UK, individualized complaints about discrimination and public prosecutions are both available avenues depending on the circumstances.</w:t>
      </w:r>
      <w:r w:rsidRPr="001B651D">
        <w:t xml:space="preserve"> </w:t>
      </w:r>
      <w:r>
        <w:t>(See Table 2.1 in Appendix B for more information).</w:t>
      </w:r>
    </w:p>
  </w:footnote>
  <w:footnote w:id="43">
    <w:p w:rsidR="00A93AD4" w:rsidRDefault="00A93AD4">
      <w:pPr>
        <w:pStyle w:val="FootnoteText"/>
      </w:pPr>
      <w:r>
        <w:rPr>
          <w:rStyle w:val="FootnoteReference"/>
        </w:rPr>
        <w:footnoteRef/>
      </w:r>
      <w:r>
        <w:t xml:space="preserve"> For more information, please see </w:t>
      </w:r>
      <w:r w:rsidRPr="002D5292">
        <w:t>Appendix B – Tables of Governance Functions in Canadian and International Accessibility Laws</w:t>
      </w:r>
      <w:r>
        <w:t>.</w:t>
      </w:r>
    </w:p>
  </w:footnote>
  <w:footnote w:id="44">
    <w:p w:rsidR="00A93AD4" w:rsidRDefault="00A93AD4">
      <w:pPr>
        <w:pStyle w:val="FootnoteText"/>
      </w:pPr>
      <w:r>
        <w:rPr>
          <w:rStyle w:val="FootnoteReference"/>
        </w:rPr>
        <w:footnoteRef/>
      </w:r>
      <w:r>
        <w:t xml:space="preserve"> </w:t>
      </w:r>
      <w:r w:rsidRPr="001D37B2">
        <w:t>There are variations as to who issues the initial order. It may be the inspector (Manitoba) or it may be the director of compliance and enforcement (</w:t>
      </w:r>
      <w:r>
        <w:t>Ontario).</w:t>
      </w:r>
    </w:p>
  </w:footnote>
  <w:footnote w:id="45">
    <w:p w:rsidR="00A93AD4" w:rsidRDefault="00A93AD4">
      <w:pPr>
        <w:pStyle w:val="FootnoteText"/>
      </w:pPr>
      <w:r>
        <w:rPr>
          <w:rStyle w:val="FootnoteReference"/>
        </w:rPr>
        <w:footnoteRef/>
      </w:r>
      <w:r>
        <w:t xml:space="preserve"> In Ontario, the AODA permits the director to order administrative penalties at the outset either alone or in addition to a compliance order (see AODA, ss 22(3),(4)).</w:t>
      </w:r>
    </w:p>
  </w:footnote>
  <w:footnote w:id="46">
    <w:p w:rsidR="00A93AD4" w:rsidRDefault="00A93AD4">
      <w:pPr>
        <w:pStyle w:val="FootnoteText"/>
      </w:pPr>
      <w:r>
        <w:rPr>
          <w:rStyle w:val="FootnoteReference"/>
        </w:rPr>
        <w:footnoteRef/>
      </w:r>
      <w:r>
        <w:t xml:space="preserve"> </w:t>
      </w:r>
      <w:r w:rsidRPr="00AC3EFF">
        <w:t>Note that in Ontario, there is an additional opportunity for the allegedly noncompliant entity to be heard:  before the director issues an order, those receiving the order are given notice of the nature of the order and  the steps that must be taken to comply as well as an opportunity to make submissions to explain the alleged contravention (see AODA, s 22).</w:t>
      </w:r>
    </w:p>
  </w:footnote>
  <w:footnote w:id="47">
    <w:p w:rsidR="00A93AD4" w:rsidRDefault="00A93AD4">
      <w:pPr>
        <w:pStyle w:val="FootnoteText"/>
      </w:pPr>
      <w:r>
        <w:rPr>
          <w:rStyle w:val="FootnoteReference"/>
        </w:rPr>
        <w:footnoteRef/>
      </w:r>
      <w:r>
        <w:t xml:space="preserve"> Note that in Ontario, additional administrative penalties may also be ordered even before the matter is taken on appeal (see AODA, ss 22(5)). In Manitoba and Nova Scotia, by contrast, administrative penalties are used as part of a graduated system of enforcement. Compliance orders are first issued, followed by administrative penalties issued at the discretion of the director for failure to comply with an order to remedy the contravention of the standard. Administrative penalties are issued in Manitoba and Nova Scotia only after the period for appealing has passed or after a decision has been made on appeal (see AMA, ss 29 and NSAA, ss 52 and 55). </w:t>
      </w:r>
    </w:p>
  </w:footnote>
  <w:footnote w:id="48">
    <w:p w:rsidR="00A93AD4" w:rsidRPr="00EE2E50" w:rsidRDefault="00A93AD4" w:rsidP="009848EC">
      <w:pPr>
        <w:pStyle w:val="FootnoteText"/>
      </w:pPr>
      <w:r>
        <w:rPr>
          <w:rStyle w:val="FootnoteReference"/>
        </w:rPr>
        <w:footnoteRef/>
      </w:r>
      <w:r>
        <w:t xml:space="preserve"> See Cristie Ford, “</w:t>
      </w:r>
      <w:r w:rsidRPr="00EE2E50">
        <w:t>Dogs and Tails: Remedies in Administrative Law</w:t>
      </w:r>
      <w:r>
        <w:t xml:space="preserve">” in </w:t>
      </w:r>
      <w:r w:rsidRPr="00EE2E50">
        <w:t>Colleen M. Flood</w:t>
      </w:r>
      <w:r>
        <w:t xml:space="preserve"> and </w:t>
      </w:r>
      <w:r w:rsidRPr="00EE2E50">
        <w:t>Lorne Sossin</w:t>
      </w:r>
      <w:r>
        <w:t xml:space="preserve">, </w:t>
      </w:r>
      <w:r w:rsidRPr="00F47D6F">
        <w:rPr>
          <w:i/>
        </w:rPr>
        <w:t>Administrative Law in Context</w:t>
      </w:r>
      <w:r>
        <w:t xml:space="preserve"> (Toronto: Emond Montgomery, 2013) at 96-98.</w:t>
      </w:r>
    </w:p>
  </w:footnote>
  <w:footnote w:id="49">
    <w:p w:rsidR="00A93AD4" w:rsidRDefault="00A93AD4">
      <w:pPr>
        <w:pStyle w:val="FootnoteText"/>
      </w:pPr>
      <w:r>
        <w:rPr>
          <w:rStyle w:val="FootnoteReference"/>
        </w:rPr>
        <w:footnoteRef/>
      </w:r>
      <w:r>
        <w:t xml:space="preserve"> See AODA, s 37.</w:t>
      </w:r>
    </w:p>
  </w:footnote>
  <w:footnote w:id="50">
    <w:p w:rsidR="00A93AD4" w:rsidRDefault="00A93AD4">
      <w:pPr>
        <w:pStyle w:val="FootnoteText"/>
      </w:pPr>
      <w:r>
        <w:rPr>
          <w:rStyle w:val="FootnoteReference"/>
        </w:rPr>
        <w:footnoteRef/>
      </w:r>
      <w:r>
        <w:t xml:space="preserve"> See AMA, s 34.</w:t>
      </w:r>
    </w:p>
  </w:footnote>
  <w:footnote w:id="51">
    <w:p w:rsidR="00A93AD4" w:rsidRDefault="00A93AD4">
      <w:pPr>
        <w:pStyle w:val="FootnoteText"/>
      </w:pPr>
      <w:r>
        <w:rPr>
          <w:rStyle w:val="FootnoteReference"/>
        </w:rPr>
        <w:footnoteRef/>
      </w:r>
      <w:r>
        <w:t xml:space="preserve"> See NSAA, s 58.</w:t>
      </w:r>
    </w:p>
  </w:footnote>
  <w:footnote w:id="52">
    <w:p w:rsidR="00A93AD4" w:rsidRDefault="00A93AD4">
      <w:pPr>
        <w:pStyle w:val="FootnoteText"/>
      </w:pPr>
      <w:r>
        <w:rPr>
          <w:rStyle w:val="FootnoteReference"/>
        </w:rPr>
        <w:footnoteRef/>
      </w:r>
      <w:r>
        <w:t xml:space="preserve"> See NSAA, s 68. Readers may also be interested know that in Israel, violations of accessibility laws may be  addressed by a civil action brought by the plaintiff for tort damages. The individual must complain to the organization, business etc. that has violated the law first before filing a tort action for damages. Most plaintiffs prefer to register their complaints with the Commission</w:t>
      </w:r>
      <w:r w:rsidRPr="00D82E88">
        <w:t xml:space="preserve"> on Equal Rights</w:t>
      </w:r>
      <w:r>
        <w:t xml:space="preserve"> </w:t>
      </w:r>
      <w:r w:rsidRPr="000F6C6A">
        <w:rPr>
          <w:lang w:val="en-US"/>
        </w:rPr>
        <w:t>for People with Disabilities</w:t>
      </w:r>
      <w:r>
        <w:t xml:space="preserve"> (</w:t>
      </w:r>
      <w:r w:rsidRPr="0076598E">
        <w:t>Ministry of Justice</w:t>
      </w:r>
      <w:r>
        <w:t xml:space="preserve">) as the Commission may join the plaintiff’s action or </w:t>
      </w:r>
      <w:r w:rsidRPr="007F11F7">
        <w:t xml:space="preserve">bring a lawsuit </w:t>
      </w:r>
      <w:r>
        <w:t>itself. The Commission possesses extensive powers of investigation (similar to the powers entrusted to inspectors under Canadian provincial accessibility legislation), the ability to issue compliance orders and has prosecuted for offences if the compliance issue remains unresolved.</w:t>
      </w:r>
    </w:p>
  </w:footnote>
  <w:footnote w:id="53">
    <w:p w:rsidR="00A93AD4" w:rsidRDefault="00A93AD4">
      <w:pPr>
        <w:pStyle w:val="FootnoteText"/>
      </w:pPr>
      <w:r>
        <w:rPr>
          <w:rStyle w:val="FootnoteReference"/>
        </w:rPr>
        <w:footnoteRef/>
      </w:r>
      <w:r>
        <w:t xml:space="preserve"> </w:t>
      </w:r>
      <w:r w:rsidRPr="007E4F77">
        <w:t>[2006] 1 SCR 513</w:t>
      </w:r>
      <w:r>
        <w:t>.</w:t>
      </w:r>
    </w:p>
  </w:footnote>
  <w:footnote w:id="54">
    <w:p w:rsidR="00A93AD4" w:rsidRDefault="00A93AD4">
      <w:pPr>
        <w:pStyle w:val="FootnoteText"/>
      </w:pPr>
      <w:r>
        <w:rPr>
          <w:rStyle w:val="FootnoteReference"/>
        </w:rPr>
        <w:footnoteRef/>
      </w:r>
      <w:r>
        <w:t xml:space="preserve"> For more information, please see </w:t>
      </w:r>
      <w:r w:rsidRPr="002D5292">
        <w:t>Appendix B – Tables of Governance Functions in Canadian and International Accessibility Laws</w:t>
      </w:r>
      <w:r>
        <w:t>.</w:t>
      </w:r>
    </w:p>
  </w:footnote>
  <w:footnote w:id="55">
    <w:p w:rsidR="00A93AD4" w:rsidRDefault="00A93AD4" w:rsidP="007C433F">
      <w:pPr>
        <w:pStyle w:val="FootnoteText"/>
      </w:pPr>
      <w:r>
        <w:rPr>
          <w:rStyle w:val="FootnoteReference"/>
        </w:rPr>
        <w:footnoteRef/>
      </w:r>
      <w:r>
        <w:t xml:space="preserve"> For more information, please see </w:t>
      </w:r>
      <w:r w:rsidRPr="002D5292">
        <w:t>Appendix B – Tables of Governance Functions in Canadian and International Accessibility Laws</w:t>
      </w:r>
      <w:r>
        <w:t>.</w:t>
      </w:r>
    </w:p>
    <w:p w:rsidR="00A93AD4" w:rsidRDefault="00A93AD4">
      <w:pPr>
        <w:pStyle w:val="FootnoteText"/>
      </w:pPr>
    </w:p>
  </w:footnote>
  <w:footnote w:id="56">
    <w:p w:rsidR="00A93AD4" w:rsidRDefault="00A93AD4">
      <w:pPr>
        <w:pStyle w:val="FootnoteText"/>
      </w:pPr>
      <w:r>
        <w:rPr>
          <w:rStyle w:val="FootnoteReference"/>
        </w:rPr>
        <w:footnoteRef/>
      </w:r>
      <w:r>
        <w:t xml:space="preserve"> R.S.C., 1985, c. H-6, s 48.1(2), online: </w:t>
      </w:r>
      <w:hyperlink r:id="rId31" w:history="1">
        <w:r w:rsidRPr="003D6D02">
          <w:rPr>
            <w:rStyle w:val="Hyperlink"/>
          </w:rPr>
          <w:t>http://laws.justice.gc.ca/eng/acts/H-6/FullText.html</w:t>
        </w:r>
      </w:hyperlink>
      <w:r>
        <w:t xml:space="preserve"> .</w:t>
      </w:r>
    </w:p>
  </w:footnote>
  <w:footnote w:id="57">
    <w:p w:rsidR="00A93AD4" w:rsidRDefault="00A93AD4" w:rsidP="008F6A70">
      <w:pPr>
        <w:pStyle w:val="FootnoteText"/>
      </w:pPr>
      <w:r>
        <w:rPr>
          <w:rStyle w:val="FootnoteReference"/>
        </w:rPr>
        <w:t>*</w:t>
      </w:r>
      <w:r>
        <w:t xml:space="preserve"> In addition, officials from the Canadian Human Rights Commission were interviewed for more information on how the Canadian Human Rights Commission worked and their views on how the proposed federal accessibility legislation may work with the </w:t>
      </w:r>
      <w:r w:rsidRPr="00F63B57">
        <w:rPr>
          <w:i/>
        </w:rPr>
        <w:t>Canadian Human Rights Act</w:t>
      </w:r>
      <w:r>
        <w:t>.</w:t>
      </w:r>
    </w:p>
  </w:footnote>
  <w:footnote w:id="58">
    <w:p w:rsidR="00A93AD4" w:rsidRDefault="00A93AD4">
      <w:pPr>
        <w:pStyle w:val="FootnoteText"/>
      </w:pPr>
      <w:r>
        <w:rPr>
          <w:rStyle w:val="FootnoteReference"/>
        </w:rPr>
        <w:t>*</w:t>
      </w:r>
      <w:r>
        <w:t xml:space="preserve"> This interview provided useful background information. However, due to the unavailability of an official version of the Israeli laws in English, it was not possible to complete a full analysis of the laws in this jurisdiction.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3AD4" w:rsidRDefault="00A93AD4" w:rsidP="0088552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93AD4" w:rsidRDefault="00A93AD4" w:rsidP="00623B9C">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3AD4" w:rsidRDefault="00A93AD4" w:rsidP="00623B9C">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F023E"/>
    <w:multiLevelType w:val="hybridMultilevel"/>
    <w:tmpl w:val="E88864C4"/>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03701183"/>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75C7CD9"/>
    <w:multiLevelType w:val="hybridMultilevel"/>
    <w:tmpl w:val="CF96557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08F650F"/>
    <w:multiLevelType w:val="hybridMultilevel"/>
    <w:tmpl w:val="776E46E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12D22CF2"/>
    <w:multiLevelType w:val="hybridMultilevel"/>
    <w:tmpl w:val="0EFEA9B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62A029F"/>
    <w:multiLevelType w:val="hybridMultilevel"/>
    <w:tmpl w:val="70E47E08"/>
    <w:lvl w:ilvl="0" w:tplc="5D6EAB3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1C5526AB"/>
    <w:multiLevelType w:val="hybridMultilevel"/>
    <w:tmpl w:val="47FABD9E"/>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1F4B28EE"/>
    <w:multiLevelType w:val="hybridMultilevel"/>
    <w:tmpl w:val="D8D86A7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21C4108A"/>
    <w:multiLevelType w:val="hybridMultilevel"/>
    <w:tmpl w:val="C346CF18"/>
    <w:lvl w:ilvl="0" w:tplc="DA9E622C">
      <w:start w:val="1"/>
      <w:numFmt w:val="lowerLetter"/>
      <w:lvlText w:val="%1)"/>
      <w:lvlJc w:val="left"/>
      <w:pPr>
        <w:ind w:left="410" w:hanging="360"/>
      </w:pPr>
      <w:rPr>
        <w:rFonts w:hint="default"/>
      </w:rPr>
    </w:lvl>
    <w:lvl w:ilvl="1" w:tplc="10090019" w:tentative="1">
      <w:start w:val="1"/>
      <w:numFmt w:val="lowerLetter"/>
      <w:lvlText w:val="%2."/>
      <w:lvlJc w:val="left"/>
      <w:pPr>
        <w:ind w:left="1130" w:hanging="360"/>
      </w:pPr>
    </w:lvl>
    <w:lvl w:ilvl="2" w:tplc="1009001B" w:tentative="1">
      <w:start w:val="1"/>
      <w:numFmt w:val="lowerRoman"/>
      <w:lvlText w:val="%3."/>
      <w:lvlJc w:val="right"/>
      <w:pPr>
        <w:ind w:left="1850" w:hanging="180"/>
      </w:pPr>
    </w:lvl>
    <w:lvl w:ilvl="3" w:tplc="1009000F" w:tentative="1">
      <w:start w:val="1"/>
      <w:numFmt w:val="decimal"/>
      <w:lvlText w:val="%4."/>
      <w:lvlJc w:val="left"/>
      <w:pPr>
        <w:ind w:left="2570" w:hanging="360"/>
      </w:pPr>
    </w:lvl>
    <w:lvl w:ilvl="4" w:tplc="10090019" w:tentative="1">
      <w:start w:val="1"/>
      <w:numFmt w:val="lowerLetter"/>
      <w:lvlText w:val="%5."/>
      <w:lvlJc w:val="left"/>
      <w:pPr>
        <w:ind w:left="3290" w:hanging="360"/>
      </w:pPr>
    </w:lvl>
    <w:lvl w:ilvl="5" w:tplc="1009001B" w:tentative="1">
      <w:start w:val="1"/>
      <w:numFmt w:val="lowerRoman"/>
      <w:lvlText w:val="%6."/>
      <w:lvlJc w:val="right"/>
      <w:pPr>
        <w:ind w:left="4010" w:hanging="180"/>
      </w:pPr>
    </w:lvl>
    <w:lvl w:ilvl="6" w:tplc="1009000F" w:tentative="1">
      <w:start w:val="1"/>
      <w:numFmt w:val="decimal"/>
      <w:lvlText w:val="%7."/>
      <w:lvlJc w:val="left"/>
      <w:pPr>
        <w:ind w:left="4730" w:hanging="360"/>
      </w:pPr>
    </w:lvl>
    <w:lvl w:ilvl="7" w:tplc="10090019" w:tentative="1">
      <w:start w:val="1"/>
      <w:numFmt w:val="lowerLetter"/>
      <w:lvlText w:val="%8."/>
      <w:lvlJc w:val="left"/>
      <w:pPr>
        <w:ind w:left="5450" w:hanging="360"/>
      </w:pPr>
    </w:lvl>
    <w:lvl w:ilvl="8" w:tplc="1009001B" w:tentative="1">
      <w:start w:val="1"/>
      <w:numFmt w:val="lowerRoman"/>
      <w:lvlText w:val="%9."/>
      <w:lvlJc w:val="right"/>
      <w:pPr>
        <w:ind w:left="6170" w:hanging="180"/>
      </w:pPr>
    </w:lvl>
  </w:abstractNum>
  <w:abstractNum w:abstractNumId="9">
    <w:nsid w:val="230C35C3"/>
    <w:multiLevelType w:val="hybridMultilevel"/>
    <w:tmpl w:val="535C6DAC"/>
    <w:lvl w:ilvl="0" w:tplc="10090011">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26D27D1C"/>
    <w:multiLevelType w:val="hybridMultilevel"/>
    <w:tmpl w:val="EA7C1440"/>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1">
    <w:nsid w:val="29474EE0"/>
    <w:multiLevelType w:val="hybridMultilevel"/>
    <w:tmpl w:val="414664D2"/>
    <w:lvl w:ilvl="0" w:tplc="5D6EAB34">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29945C09"/>
    <w:multiLevelType w:val="hybridMultilevel"/>
    <w:tmpl w:val="2CE83F52"/>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29EF7D11"/>
    <w:multiLevelType w:val="hybridMultilevel"/>
    <w:tmpl w:val="E96EB062"/>
    <w:lvl w:ilvl="0" w:tplc="1009000B">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29F83A08"/>
    <w:multiLevelType w:val="hybridMultilevel"/>
    <w:tmpl w:val="EF88FDB0"/>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2BE3715D"/>
    <w:multiLevelType w:val="hybridMultilevel"/>
    <w:tmpl w:val="8D9AC3C6"/>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2CE80381"/>
    <w:multiLevelType w:val="hybridMultilevel"/>
    <w:tmpl w:val="464071A4"/>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nsid w:val="32982B4D"/>
    <w:multiLevelType w:val="hybridMultilevel"/>
    <w:tmpl w:val="D0CE2E9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391649AF"/>
    <w:multiLevelType w:val="hybridMultilevel"/>
    <w:tmpl w:val="18B081F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391779A2"/>
    <w:multiLevelType w:val="hybridMultilevel"/>
    <w:tmpl w:val="0D50F34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nsid w:val="3A662BB7"/>
    <w:multiLevelType w:val="hybridMultilevel"/>
    <w:tmpl w:val="A866D3C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3B8F2E0B"/>
    <w:multiLevelType w:val="hybridMultilevel"/>
    <w:tmpl w:val="56542874"/>
    <w:lvl w:ilvl="0" w:tplc="4F420244">
      <w:start w:val="3"/>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nsid w:val="3E2305C2"/>
    <w:multiLevelType w:val="hybridMultilevel"/>
    <w:tmpl w:val="235AB446"/>
    <w:lvl w:ilvl="0" w:tplc="1009000B">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43CF27A3"/>
    <w:multiLevelType w:val="hybridMultilevel"/>
    <w:tmpl w:val="5C4E7B06"/>
    <w:lvl w:ilvl="0" w:tplc="10090011">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nsid w:val="46D651B4"/>
    <w:multiLevelType w:val="hybridMultilevel"/>
    <w:tmpl w:val="36BE90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nsid w:val="4ED46652"/>
    <w:multiLevelType w:val="hybridMultilevel"/>
    <w:tmpl w:val="9FA4F1F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nsid w:val="553229E2"/>
    <w:multiLevelType w:val="hybridMultilevel"/>
    <w:tmpl w:val="2DBA88C8"/>
    <w:lvl w:ilvl="0" w:tplc="1009001B">
      <w:start w:val="1"/>
      <w:numFmt w:val="lowerRoman"/>
      <w:lvlText w:val="%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nsid w:val="57F22BE9"/>
    <w:multiLevelType w:val="hybridMultilevel"/>
    <w:tmpl w:val="F76C999C"/>
    <w:lvl w:ilvl="0" w:tplc="76BEC26A">
      <w:numFmt w:val="bullet"/>
      <w:lvlText w:val="•"/>
      <w:lvlJc w:val="left"/>
      <w:pPr>
        <w:ind w:left="1080" w:hanging="72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61F00080"/>
    <w:multiLevelType w:val="hybridMultilevel"/>
    <w:tmpl w:val="D57EC3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nsid w:val="6A157411"/>
    <w:multiLevelType w:val="hybridMultilevel"/>
    <w:tmpl w:val="27F651B0"/>
    <w:lvl w:ilvl="0" w:tplc="DA9E622C">
      <w:start w:val="1"/>
      <w:numFmt w:val="lowerLetter"/>
      <w:lvlText w:val="%1)"/>
      <w:lvlJc w:val="left"/>
      <w:pPr>
        <w:ind w:left="41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nsid w:val="6BFC791E"/>
    <w:multiLevelType w:val="hybridMultilevel"/>
    <w:tmpl w:val="1AC8AA60"/>
    <w:lvl w:ilvl="0" w:tplc="10090011">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nsid w:val="6C1B113C"/>
    <w:multiLevelType w:val="hybridMultilevel"/>
    <w:tmpl w:val="166ED0C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nsid w:val="6D2D1AE5"/>
    <w:multiLevelType w:val="hybridMultilevel"/>
    <w:tmpl w:val="D710035C"/>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nsid w:val="769B7503"/>
    <w:multiLevelType w:val="hybridMultilevel"/>
    <w:tmpl w:val="E9F84FCA"/>
    <w:lvl w:ilvl="0" w:tplc="10090011">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nsid w:val="776F3FFF"/>
    <w:multiLevelType w:val="hybridMultilevel"/>
    <w:tmpl w:val="918C4B44"/>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nsid w:val="79FE61A3"/>
    <w:multiLevelType w:val="hybridMultilevel"/>
    <w:tmpl w:val="799A8012"/>
    <w:lvl w:ilvl="0" w:tplc="10090011">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decimal"/>
      <w:lvlText w:val="%3."/>
      <w:lvlJc w:val="left"/>
      <w:pPr>
        <w:tabs>
          <w:tab w:val="num" w:pos="2160"/>
        </w:tabs>
        <w:ind w:left="2160" w:hanging="360"/>
      </w:pPr>
    </w:lvl>
    <w:lvl w:ilvl="3" w:tplc="1009000F">
      <w:start w:val="1"/>
      <w:numFmt w:val="decimal"/>
      <w:lvlText w:val="%4."/>
      <w:lvlJc w:val="left"/>
      <w:pPr>
        <w:tabs>
          <w:tab w:val="num" w:pos="2880"/>
        </w:tabs>
        <w:ind w:left="2880" w:hanging="360"/>
      </w:pPr>
    </w:lvl>
    <w:lvl w:ilvl="4" w:tplc="10090019">
      <w:start w:val="1"/>
      <w:numFmt w:val="decimal"/>
      <w:lvlText w:val="%5."/>
      <w:lvlJc w:val="left"/>
      <w:pPr>
        <w:tabs>
          <w:tab w:val="num" w:pos="3600"/>
        </w:tabs>
        <w:ind w:left="3600" w:hanging="360"/>
      </w:pPr>
    </w:lvl>
    <w:lvl w:ilvl="5" w:tplc="1009001B">
      <w:start w:val="1"/>
      <w:numFmt w:val="decimal"/>
      <w:lvlText w:val="%6."/>
      <w:lvlJc w:val="left"/>
      <w:pPr>
        <w:tabs>
          <w:tab w:val="num" w:pos="4320"/>
        </w:tabs>
        <w:ind w:left="4320" w:hanging="360"/>
      </w:pPr>
    </w:lvl>
    <w:lvl w:ilvl="6" w:tplc="1009000F">
      <w:start w:val="1"/>
      <w:numFmt w:val="decimal"/>
      <w:lvlText w:val="%7."/>
      <w:lvlJc w:val="left"/>
      <w:pPr>
        <w:tabs>
          <w:tab w:val="num" w:pos="5040"/>
        </w:tabs>
        <w:ind w:left="5040" w:hanging="360"/>
      </w:pPr>
    </w:lvl>
    <w:lvl w:ilvl="7" w:tplc="10090019">
      <w:start w:val="1"/>
      <w:numFmt w:val="decimal"/>
      <w:lvlText w:val="%8."/>
      <w:lvlJc w:val="left"/>
      <w:pPr>
        <w:tabs>
          <w:tab w:val="num" w:pos="5760"/>
        </w:tabs>
        <w:ind w:left="5760" w:hanging="360"/>
      </w:pPr>
    </w:lvl>
    <w:lvl w:ilvl="8" w:tplc="1009001B">
      <w:start w:val="1"/>
      <w:numFmt w:val="decimal"/>
      <w:lvlText w:val="%9."/>
      <w:lvlJc w:val="left"/>
      <w:pPr>
        <w:tabs>
          <w:tab w:val="num" w:pos="6480"/>
        </w:tabs>
        <w:ind w:left="6480" w:hanging="360"/>
      </w:pPr>
    </w:lvl>
  </w:abstractNum>
  <w:abstractNum w:abstractNumId="36">
    <w:nsid w:val="7F2050D0"/>
    <w:multiLevelType w:val="hybridMultilevel"/>
    <w:tmpl w:val="15F0FE3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num w:numId="1">
    <w:abstractNumId w:val="28"/>
  </w:num>
  <w:num w:numId="2">
    <w:abstractNumId w:val="27"/>
  </w:num>
  <w:num w:numId="3">
    <w:abstractNumId w:val="30"/>
  </w:num>
  <w:num w:numId="4">
    <w:abstractNumId w:val="13"/>
  </w:num>
  <w:num w:numId="5">
    <w:abstractNumId w:val="3"/>
  </w:num>
  <w:num w:numId="6">
    <w:abstractNumId w:val="20"/>
  </w:num>
  <w:num w:numId="7">
    <w:abstractNumId w:val="22"/>
  </w:num>
  <w:num w:numId="8">
    <w:abstractNumId w:val="17"/>
  </w:num>
  <w:num w:numId="9">
    <w:abstractNumId w:val="4"/>
  </w:num>
  <w:num w:numId="10">
    <w:abstractNumId w:val="18"/>
  </w:num>
  <w:num w:numId="11">
    <w:abstractNumId w:val="10"/>
  </w:num>
  <w:num w:numId="12">
    <w:abstractNumId w:val="25"/>
  </w:num>
  <w:num w:numId="13">
    <w:abstractNumId w:val="31"/>
  </w:num>
  <w:num w:numId="14">
    <w:abstractNumId w:val="9"/>
  </w:num>
  <w:num w:numId="15">
    <w:abstractNumId w:val="23"/>
  </w:num>
  <w:num w:numId="16">
    <w:abstractNumId w:val="14"/>
  </w:num>
  <w:num w:numId="17">
    <w:abstractNumId w:val="15"/>
  </w:num>
  <w:num w:numId="18">
    <w:abstractNumId w:val="6"/>
  </w:num>
  <w:num w:numId="19">
    <w:abstractNumId w:val="26"/>
  </w:num>
  <w:num w:numId="20">
    <w:abstractNumId w:val="12"/>
  </w:num>
  <w:num w:numId="21">
    <w:abstractNumId w:val="8"/>
  </w:num>
  <w:num w:numId="22">
    <w:abstractNumId w:val="29"/>
  </w:num>
  <w:num w:numId="23">
    <w:abstractNumId w:val="11"/>
  </w:num>
  <w:num w:numId="2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7"/>
  </w:num>
  <w:num w:numId="27">
    <w:abstractNumId w:val="32"/>
  </w:num>
  <w:num w:numId="28">
    <w:abstractNumId w:val="34"/>
  </w:num>
  <w:num w:numId="29">
    <w:abstractNumId w:val="5"/>
  </w:num>
  <w:num w:numId="30">
    <w:abstractNumId w:val="1"/>
  </w:num>
  <w:num w:numId="31">
    <w:abstractNumId w:val="21"/>
  </w:num>
  <w:num w:numId="32">
    <w:abstractNumId w:val="19"/>
  </w:num>
  <w:num w:numId="33">
    <w:abstractNumId w:val="24"/>
  </w:num>
  <w:num w:numId="34">
    <w:abstractNumId w:val="33"/>
  </w:num>
  <w:num w:numId="35">
    <w:abstractNumId w:val="36"/>
  </w:num>
  <w:num w:numId="36">
    <w:abstractNumId w:val="16"/>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96B6F2C8-75BB-4436-9780-ADE87089134E}"/>
    <w:docVar w:name="dgnword-eventsink" w:val="169091568"/>
  </w:docVars>
  <w:rsids>
    <w:rsidRoot w:val="00EF24AC"/>
    <w:rsid w:val="0000319E"/>
    <w:rsid w:val="000049E5"/>
    <w:rsid w:val="00004A15"/>
    <w:rsid w:val="0001211D"/>
    <w:rsid w:val="00012F72"/>
    <w:rsid w:val="0002179E"/>
    <w:rsid w:val="000239FC"/>
    <w:rsid w:val="0002573C"/>
    <w:rsid w:val="0003255D"/>
    <w:rsid w:val="00044F28"/>
    <w:rsid w:val="0004555B"/>
    <w:rsid w:val="00046DBB"/>
    <w:rsid w:val="00046EE2"/>
    <w:rsid w:val="000537AD"/>
    <w:rsid w:val="00054F8F"/>
    <w:rsid w:val="00061625"/>
    <w:rsid w:val="00062368"/>
    <w:rsid w:val="00062899"/>
    <w:rsid w:val="00064972"/>
    <w:rsid w:val="00065385"/>
    <w:rsid w:val="00080FE0"/>
    <w:rsid w:val="0008153B"/>
    <w:rsid w:val="00085289"/>
    <w:rsid w:val="000866B6"/>
    <w:rsid w:val="00086CEE"/>
    <w:rsid w:val="00087F52"/>
    <w:rsid w:val="000900D3"/>
    <w:rsid w:val="000A0805"/>
    <w:rsid w:val="000A3AE9"/>
    <w:rsid w:val="000A6320"/>
    <w:rsid w:val="000A6958"/>
    <w:rsid w:val="000B4D26"/>
    <w:rsid w:val="000B531B"/>
    <w:rsid w:val="000B684C"/>
    <w:rsid w:val="000B7751"/>
    <w:rsid w:val="000C0BEA"/>
    <w:rsid w:val="000C505B"/>
    <w:rsid w:val="000C794C"/>
    <w:rsid w:val="000D2F15"/>
    <w:rsid w:val="000E349A"/>
    <w:rsid w:val="000F542D"/>
    <w:rsid w:val="000F6C6A"/>
    <w:rsid w:val="000F7151"/>
    <w:rsid w:val="001017DD"/>
    <w:rsid w:val="00102E3D"/>
    <w:rsid w:val="00104B2C"/>
    <w:rsid w:val="00104D5C"/>
    <w:rsid w:val="00110EB2"/>
    <w:rsid w:val="001130A0"/>
    <w:rsid w:val="00121F65"/>
    <w:rsid w:val="001221FA"/>
    <w:rsid w:val="00123BB8"/>
    <w:rsid w:val="00131C10"/>
    <w:rsid w:val="0014264F"/>
    <w:rsid w:val="00150C3A"/>
    <w:rsid w:val="00150DD9"/>
    <w:rsid w:val="00152CDC"/>
    <w:rsid w:val="00163E89"/>
    <w:rsid w:val="00170E1A"/>
    <w:rsid w:val="00175D90"/>
    <w:rsid w:val="00177B8E"/>
    <w:rsid w:val="001804D0"/>
    <w:rsid w:val="0019021B"/>
    <w:rsid w:val="00191DC9"/>
    <w:rsid w:val="00193FEB"/>
    <w:rsid w:val="001949BE"/>
    <w:rsid w:val="00194FD1"/>
    <w:rsid w:val="001975A5"/>
    <w:rsid w:val="00197BF7"/>
    <w:rsid w:val="001A035F"/>
    <w:rsid w:val="001A1DA7"/>
    <w:rsid w:val="001A2B68"/>
    <w:rsid w:val="001A30BD"/>
    <w:rsid w:val="001A33D7"/>
    <w:rsid w:val="001A65CE"/>
    <w:rsid w:val="001B0C5C"/>
    <w:rsid w:val="001B3FD1"/>
    <w:rsid w:val="001B651D"/>
    <w:rsid w:val="001C230E"/>
    <w:rsid w:val="001D20BC"/>
    <w:rsid w:val="001D2768"/>
    <w:rsid w:val="001D37B2"/>
    <w:rsid w:val="001D3863"/>
    <w:rsid w:val="001D4A8A"/>
    <w:rsid w:val="001E1977"/>
    <w:rsid w:val="001E5BB4"/>
    <w:rsid w:val="001E7520"/>
    <w:rsid w:val="001E7BA0"/>
    <w:rsid w:val="001F0B4C"/>
    <w:rsid w:val="001F64B3"/>
    <w:rsid w:val="0020101B"/>
    <w:rsid w:val="00211D54"/>
    <w:rsid w:val="00217FE3"/>
    <w:rsid w:val="00222008"/>
    <w:rsid w:val="002273FF"/>
    <w:rsid w:val="002279BC"/>
    <w:rsid w:val="00233B20"/>
    <w:rsid w:val="00233FE5"/>
    <w:rsid w:val="00234FE5"/>
    <w:rsid w:val="00235753"/>
    <w:rsid w:val="00235E01"/>
    <w:rsid w:val="00237930"/>
    <w:rsid w:val="002423D4"/>
    <w:rsid w:val="00242901"/>
    <w:rsid w:val="002452A2"/>
    <w:rsid w:val="00253F9A"/>
    <w:rsid w:val="00254ED3"/>
    <w:rsid w:val="00256841"/>
    <w:rsid w:val="00260398"/>
    <w:rsid w:val="00261424"/>
    <w:rsid w:val="002619EE"/>
    <w:rsid w:val="00267819"/>
    <w:rsid w:val="00272100"/>
    <w:rsid w:val="00275804"/>
    <w:rsid w:val="002778C1"/>
    <w:rsid w:val="00281F31"/>
    <w:rsid w:val="00283395"/>
    <w:rsid w:val="00284D40"/>
    <w:rsid w:val="002853A1"/>
    <w:rsid w:val="00291EFC"/>
    <w:rsid w:val="002A61FD"/>
    <w:rsid w:val="002B7246"/>
    <w:rsid w:val="002C12CC"/>
    <w:rsid w:val="002C6B58"/>
    <w:rsid w:val="002D04C9"/>
    <w:rsid w:val="002D1EDA"/>
    <w:rsid w:val="002D2026"/>
    <w:rsid w:val="002D3CF2"/>
    <w:rsid w:val="002D5292"/>
    <w:rsid w:val="002E3CE4"/>
    <w:rsid w:val="002E734D"/>
    <w:rsid w:val="002F0AE0"/>
    <w:rsid w:val="002F6147"/>
    <w:rsid w:val="0030674D"/>
    <w:rsid w:val="00313567"/>
    <w:rsid w:val="0031738F"/>
    <w:rsid w:val="00323757"/>
    <w:rsid w:val="00327660"/>
    <w:rsid w:val="00333F31"/>
    <w:rsid w:val="00336802"/>
    <w:rsid w:val="00337BD2"/>
    <w:rsid w:val="0034120B"/>
    <w:rsid w:val="00341870"/>
    <w:rsid w:val="00344587"/>
    <w:rsid w:val="00344CD6"/>
    <w:rsid w:val="0035116A"/>
    <w:rsid w:val="00352830"/>
    <w:rsid w:val="0035382C"/>
    <w:rsid w:val="003572D7"/>
    <w:rsid w:val="00357652"/>
    <w:rsid w:val="00357B2B"/>
    <w:rsid w:val="00360765"/>
    <w:rsid w:val="00360827"/>
    <w:rsid w:val="00360D96"/>
    <w:rsid w:val="00363AB0"/>
    <w:rsid w:val="00363F3D"/>
    <w:rsid w:val="0036496C"/>
    <w:rsid w:val="0036735C"/>
    <w:rsid w:val="00367DE3"/>
    <w:rsid w:val="00373064"/>
    <w:rsid w:val="00374EF2"/>
    <w:rsid w:val="00376709"/>
    <w:rsid w:val="0037758F"/>
    <w:rsid w:val="0038010C"/>
    <w:rsid w:val="003807E5"/>
    <w:rsid w:val="00381BDB"/>
    <w:rsid w:val="0038200A"/>
    <w:rsid w:val="00382243"/>
    <w:rsid w:val="003826D2"/>
    <w:rsid w:val="00382D2F"/>
    <w:rsid w:val="00384ABD"/>
    <w:rsid w:val="00384CD9"/>
    <w:rsid w:val="003868C2"/>
    <w:rsid w:val="00386AFE"/>
    <w:rsid w:val="003873C6"/>
    <w:rsid w:val="003922AC"/>
    <w:rsid w:val="003978C7"/>
    <w:rsid w:val="003A00FD"/>
    <w:rsid w:val="003A129D"/>
    <w:rsid w:val="003A77FD"/>
    <w:rsid w:val="003A7A92"/>
    <w:rsid w:val="003B5629"/>
    <w:rsid w:val="003B60AB"/>
    <w:rsid w:val="003B660F"/>
    <w:rsid w:val="003C25D6"/>
    <w:rsid w:val="003C65CC"/>
    <w:rsid w:val="003D0858"/>
    <w:rsid w:val="003D0992"/>
    <w:rsid w:val="003E3A9B"/>
    <w:rsid w:val="003E4E9C"/>
    <w:rsid w:val="003E5259"/>
    <w:rsid w:val="003E6328"/>
    <w:rsid w:val="003F08EF"/>
    <w:rsid w:val="003F4415"/>
    <w:rsid w:val="003F5552"/>
    <w:rsid w:val="00401DB9"/>
    <w:rsid w:val="00410F9F"/>
    <w:rsid w:val="00411FB3"/>
    <w:rsid w:val="00412B25"/>
    <w:rsid w:val="004171E4"/>
    <w:rsid w:val="00420E4D"/>
    <w:rsid w:val="00421CA1"/>
    <w:rsid w:val="00423C10"/>
    <w:rsid w:val="00427485"/>
    <w:rsid w:val="0043030A"/>
    <w:rsid w:val="0043574B"/>
    <w:rsid w:val="00441534"/>
    <w:rsid w:val="00442932"/>
    <w:rsid w:val="00445AC8"/>
    <w:rsid w:val="004465BD"/>
    <w:rsid w:val="00453E6B"/>
    <w:rsid w:val="00454F50"/>
    <w:rsid w:val="00456AF9"/>
    <w:rsid w:val="00460C06"/>
    <w:rsid w:val="0046195F"/>
    <w:rsid w:val="00467DAA"/>
    <w:rsid w:val="0048402C"/>
    <w:rsid w:val="0048629B"/>
    <w:rsid w:val="00486C84"/>
    <w:rsid w:val="00491D16"/>
    <w:rsid w:val="0049224A"/>
    <w:rsid w:val="004922B6"/>
    <w:rsid w:val="004924A8"/>
    <w:rsid w:val="00492E8B"/>
    <w:rsid w:val="00493C6F"/>
    <w:rsid w:val="00493F89"/>
    <w:rsid w:val="00495FEF"/>
    <w:rsid w:val="004A203A"/>
    <w:rsid w:val="004A2FF4"/>
    <w:rsid w:val="004A52B1"/>
    <w:rsid w:val="004B6807"/>
    <w:rsid w:val="004C163F"/>
    <w:rsid w:val="004C49DD"/>
    <w:rsid w:val="004C77C3"/>
    <w:rsid w:val="004E0D5D"/>
    <w:rsid w:val="004E6F32"/>
    <w:rsid w:val="00502AA7"/>
    <w:rsid w:val="00510CC4"/>
    <w:rsid w:val="00511A5A"/>
    <w:rsid w:val="00514B8F"/>
    <w:rsid w:val="005172EC"/>
    <w:rsid w:val="0051787D"/>
    <w:rsid w:val="005276BF"/>
    <w:rsid w:val="00527E6F"/>
    <w:rsid w:val="005319AA"/>
    <w:rsid w:val="005405B5"/>
    <w:rsid w:val="005417C3"/>
    <w:rsid w:val="00542E27"/>
    <w:rsid w:val="00547C24"/>
    <w:rsid w:val="005500E0"/>
    <w:rsid w:val="00557A95"/>
    <w:rsid w:val="00560008"/>
    <w:rsid w:val="0056523F"/>
    <w:rsid w:val="00566D5F"/>
    <w:rsid w:val="00570C17"/>
    <w:rsid w:val="00576864"/>
    <w:rsid w:val="005807FA"/>
    <w:rsid w:val="0058482B"/>
    <w:rsid w:val="00587224"/>
    <w:rsid w:val="0059164E"/>
    <w:rsid w:val="005A734F"/>
    <w:rsid w:val="005C1297"/>
    <w:rsid w:val="005C5900"/>
    <w:rsid w:val="005C7314"/>
    <w:rsid w:val="005D0CDE"/>
    <w:rsid w:val="005D71B7"/>
    <w:rsid w:val="005E063B"/>
    <w:rsid w:val="005E1215"/>
    <w:rsid w:val="005E4AC1"/>
    <w:rsid w:val="005E5365"/>
    <w:rsid w:val="005F020D"/>
    <w:rsid w:val="00601083"/>
    <w:rsid w:val="00601F92"/>
    <w:rsid w:val="006052F4"/>
    <w:rsid w:val="00606570"/>
    <w:rsid w:val="00617C3B"/>
    <w:rsid w:val="00620278"/>
    <w:rsid w:val="00621C55"/>
    <w:rsid w:val="00623B9C"/>
    <w:rsid w:val="00637465"/>
    <w:rsid w:val="00650D78"/>
    <w:rsid w:val="006517B9"/>
    <w:rsid w:val="006519BE"/>
    <w:rsid w:val="0065459A"/>
    <w:rsid w:val="006545FD"/>
    <w:rsid w:val="0065573C"/>
    <w:rsid w:val="006565A8"/>
    <w:rsid w:val="00656C41"/>
    <w:rsid w:val="006616AC"/>
    <w:rsid w:val="00662045"/>
    <w:rsid w:val="006673B0"/>
    <w:rsid w:val="0067230C"/>
    <w:rsid w:val="00675D27"/>
    <w:rsid w:val="00676B98"/>
    <w:rsid w:val="00683A12"/>
    <w:rsid w:val="006969B5"/>
    <w:rsid w:val="006A076B"/>
    <w:rsid w:val="006A2AF2"/>
    <w:rsid w:val="006A71DE"/>
    <w:rsid w:val="006B4C35"/>
    <w:rsid w:val="006B53AF"/>
    <w:rsid w:val="006C3458"/>
    <w:rsid w:val="006C3AA6"/>
    <w:rsid w:val="006C5382"/>
    <w:rsid w:val="006C5810"/>
    <w:rsid w:val="006C5EBE"/>
    <w:rsid w:val="006C63B4"/>
    <w:rsid w:val="006D191A"/>
    <w:rsid w:val="006D1F3E"/>
    <w:rsid w:val="006D1FEB"/>
    <w:rsid w:val="006D2A97"/>
    <w:rsid w:val="006D2C3F"/>
    <w:rsid w:val="006D7F19"/>
    <w:rsid w:val="006F2B44"/>
    <w:rsid w:val="00707FFD"/>
    <w:rsid w:val="00713966"/>
    <w:rsid w:val="00716503"/>
    <w:rsid w:val="00723D4C"/>
    <w:rsid w:val="007249C7"/>
    <w:rsid w:val="00734096"/>
    <w:rsid w:val="00736ECF"/>
    <w:rsid w:val="007436B3"/>
    <w:rsid w:val="007455B3"/>
    <w:rsid w:val="00746B92"/>
    <w:rsid w:val="00754757"/>
    <w:rsid w:val="00757086"/>
    <w:rsid w:val="0076598E"/>
    <w:rsid w:val="00775088"/>
    <w:rsid w:val="00775C20"/>
    <w:rsid w:val="007762DF"/>
    <w:rsid w:val="00780747"/>
    <w:rsid w:val="00782060"/>
    <w:rsid w:val="00785EBF"/>
    <w:rsid w:val="00790857"/>
    <w:rsid w:val="00791734"/>
    <w:rsid w:val="00794582"/>
    <w:rsid w:val="007952FD"/>
    <w:rsid w:val="007A0598"/>
    <w:rsid w:val="007A7E2C"/>
    <w:rsid w:val="007B2B6C"/>
    <w:rsid w:val="007C094B"/>
    <w:rsid w:val="007C433F"/>
    <w:rsid w:val="007D1C71"/>
    <w:rsid w:val="007D1DB1"/>
    <w:rsid w:val="007D4B07"/>
    <w:rsid w:val="007E466D"/>
    <w:rsid w:val="007E4F77"/>
    <w:rsid w:val="007E5B87"/>
    <w:rsid w:val="007F11F7"/>
    <w:rsid w:val="007F2E97"/>
    <w:rsid w:val="007F57C0"/>
    <w:rsid w:val="00802564"/>
    <w:rsid w:val="00802B6F"/>
    <w:rsid w:val="00803D05"/>
    <w:rsid w:val="0081110D"/>
    <w:rsid w:val="00812149"/>
    <w:rsid w:val="00815E39"/>
    <w:rsid w:val="00816A0C"/>
    <w:rsid w:val="0082306F"/>
    <w:rsid w:val="00824B20"/>
    <w:rsid w:val="00840876"/>
    <w:rsid w:val="00844400"/>
    <w:rsid w:val="008522E6"/>
    <w:rsid w:val="008628A0"/>
    <w:rsid w:val="00864765"/>
    <w:rsid w:val="008715FC"/>
    <w:rsid w:val="00873175"/>
    <w:rsid w:val="00877ECD"/>
    <w:rsid w:val="0088552D"/>
    <w:rsid w:val="008925B6"/>
    <w:rsid w:val="0089474A"/>
    <w:rsid w:val="00894846"/>
    <w:rsid w:val="008967B3"/>
    <w:rsid w:val="008A7B35"/>
    <w:rsid w:val="008B0933"/>
    <w:rsid w:val="008B3A49"/>
    <w:rsid w:val="008C0600"/>
    <w:rsid w:val="008C2070"/>
    <w:rsid w:val="008C27D1"/>
    <w:rsid w:val="008C3CFC"/>
    <w:rsid w:val="008C5582"/>
    <w:rsid w:val="008C670A"/>
    <w:rsid w:val="008D158B"/>
    <w:rsid w:val="008F51AE"/>
    <w:rsid w:val="008F6A70"/>
    <w:rsid w:val="008F6E0F"/>
    <w:rsid w:val="009023EF"/>
    <w:rsid w:val="00902B19"/>
    <w:rsid w:val="009036E2"/>
    <w:rsid w:val="0090424B"/>
    <w:rsid w:val="009075A2"/>
    <w:rsid w:val="00915212"/>
    <w:rsid w:val="00920A22"/>
    <w:rsid w:val="00921EF3"/>
    <w:rsid w:val="00924C37"/>
    <w:rsid w:val="009306BC"/>
    <w:rsid w:val="009306E2"/>
    <w:rsid w:val="00933E2A"/>
    <w:rsid w:val="0093491F"/>
    <w:rsid w:val="00945C88"/>
    <w:rsid w:val="0095656C"/>
    <w:rsid w:val="009574AE"/>
    <w:rsid w:val="00961A12"/>
    <w:rsid w:val="00972D19"/>
    <w:rsid w:val="009736E3"/>
    <w:rsid w:val="0097609E"/>
    <w:rsid w:val="00976F4F"/>
    <w:rsid w:val="00977461"/>
    <w:rsid w:val="0098063A"/>
    <w:rsid w:val="009848EC"/>
    <w:rsid w:val="009854D5"/>
    <w:rsid w:val="00985D64"/>
    <w:rsid w:val="00987272"/>
    <w:rsid w:val="00991E20"/>
    <w:rsid w:val="00992494"/>
    <w:rsid w:val="00992EFE"/>
    <w:rsid w:val="0099453E"/>
    <w:rsid w:val="00995782"/>
    <w:rsid w:val="00997D0E"/>
    <w:rsid w:val="009A0094"/>
    <w:rsid w:val="009A1E4D"/>
    <w:rsid w:val="009B1B21"/>
    <w:rsid w:val="009B5175"/>
    <w:rsid w:val="009C6C22"/>
    <w:rsid w:val="009C744F"/>
    <w:rsid w:val="009D1A3E"/>
    <w:rsid w:val="009D27F7"/>
    <w:rsid w:val="009D2B02"/>
    <w:rsid w:val="009D7380"/>
    <w:rsid w:val="009E04BF"/>
    <w:rsid w:val="009E2996"/>
    <w:rsid w:val="009E3C8F"/>
    <w:rsid w:val="009F0651"/>
    <w:rsid w:val="009F20E1"/>
    <w:rsid w:val="009F612D"/>
    <w:rsid w:val="00A00558"/>
    <w:rsid w:val="00A04F86"/>
    <w:rsid w:val="00A073DF"/>
    <w:rsid w:val="00A1003A"/>
    <w:rsid w:val="00A11B40"/>
    <w:rsid w:val="00A32D9D"/>
    <w:rsid w:val="00A406EE"/>
    <w:rsid w:val="00A41B0B"/>
    <w:rsid w:val="00A42679"/>
    <w:rsid w:val="00A51BAD"/>
    <w:rsid w:val="00A53014"/>
    <w:rsid w:val="00A57918"/>
    <w:rsid w:val="00A650CB"/>
    <w:rsid w:val="00A65CAF"/>
    <w:rsid w:val="00A82722"/>
    <w:rsid w:val="00A83834"/>
    <w:rsid w:val="00A8551B"/>
    <w:rsid w:val="00A8741A"/>
    <w:rsid w:val="00A93AD4"/>
    <w:rsid w:val="00A9711B"/>
    <w:rsid w:val="00AA2D9D"/>
    <w:rsid w:val="00AA3BD8"/>
    <w:rsid w:val="00AB0A00"/>
    <w:rsid w:val="00AB1C0E"/>
    <w:rsid w:val="00AB22B3"/>
    <w:rsid w:val="00AB23A1"/>
    <w:rsid w:val="00AC304D"/>
    <w:rsid w:val="00AC36C9"/>
    <w:rsid w:val="00AC390F"/>
    <w:rsid w:val="00AC3EFF"/>
    <w:rsid w:val="00AC7100"/>
    <w:rsid w:val="00AC7660"/>
    <w:rsid w:val="00AD2838"/>
    <w:rsid w:val="00AD4E38"/>
    <w:rsid w:val="00AD5316"/>
    <w:rsid w:val="00AD5AE8"/>
    <w:rsid w:val="00AD69D0"/>
    <w:rsid w:val="00AD6EBC"/>
    <w:rsid w:val="00AE2462"/>
    <w:rsid w:val="00AE521C"/>
    <w:rsid w:val="00AE586F"/>
    <w:rsid w:val="00AF14CD"/>
    <w:rsid w:val="00AF150E"/>
    <w:rsid w:val="00AF19B1"/>
    <w:rsid w:val="00AF3C75"/>
    <w:rsid w:val="00B04255"/>
    <w:rsid w:val="00B04BB8"/>
    <w:rsid w:val="00B07AB2"/>
    <w:rsid w:val="00B21C28"/>
    <w:rsid w:val="00B259E6"/>
    <w:rsid w:val="00B31CD0"/>
    <w:rsid w:val="00B33FE0"/>
    <w:rsid w:val="00B4027E"/>
    <w:rsid w:val="00B419DF"/>
    <w:rsid w:val="00B41FBE"/>
    <w:rsid w:val="00B5160C"/>
    <w:rsid w:val="00B55B93"/>
    <w:rsid w:val="00B56D68"/>
    <w:rsid w:val="00B74DE8"/>
    <w:rsid w:val="00B97487"/>
    <w:rsid w:val="00BA1138"/>
    <w:rsid w:val="00BA296B"/>
    <w:rsid w:val="00BA2D5B"/>
    <w:rsid w:val="00BA6DB4"/>
    <w:rsid w:val="00BA7D7C"/>
    <w:rsid w:val="00BB0448"/>
    <w:rsid w:val="00BB298E"/>
    <w:rsid w:val="00BB5470"/>
    <w:rsid w:val="00BB5CE7"/>
    <w:rsid w:val="00BB692C"/>
    <w:rsid w:val="00BB6F70"/>
    <w:rsid w:val="00BC6891"/>
    <w:rsid w:val="00BD0781"/>
    <w:rsid w:val="00BD1380"/>
    <w:rsid w:val="00BD51D0"/>
    <w:rsid w:val="00BD550B"/>
    <w:rsid w:val="00BE2107"/>
    <w:rsid w:val="00BE73DA"/>
    <w:rsid w:val="00BE7B74"/>
    <w:rsid w:val="00BF47CA"/>
    <w:rsid w:val="00BF6F9D"/>
    <w:rsid w:val="00C03C7E"/>
    <w:rsid w:val="00C07DBA"/>
    <w:rsid w:val="00C11E6E"/>
    <w:rsid w:val="00C14ECE"/>
    <w:rsid w:val="00C17355"/>
    <w:rsid w:val="00C204A8"/>
    <w:rsid w:val="00C21396"/>
    <w:rsid w:val="00C23DD3"/>
    <w:rsid w:val="00C2432B"/>
    <w:rsid w:val="00C3226F"/>
    <w:rsid w:val="00C33D39"/>
    <w:rsid w:val="00C34A2A"/>
    <w:rsid w:val="00C36E37"/>
    <w:rsid w:val="00C37B19"/>
    <w:rsid w:val="00C37D5C"/>
    <w:rsid w:val="00C46194"/>
    <w:rsid w:val="00C46888"/>
    <w:rsid w:val="00C46ABF"/>
    <w:rsid w:val="00C67FF2"/>
    <w:rsid w:val="00C70C7F"/>
    <w:rsid w:val="00C76343"/>
    <w:rsid w:val="00C769F7"/>
    <w:rsid w:val="00C802DA"/>
    <w:rsid w:val="00C90837"/>
    <w:rsid w:val="00CA6267"/>
    <w:rsid w:val="00CC7FF6"/>
    <w:rsid w:val="00CD16B4"/>
    <w:rsid w:val="00CD5FDC"/>
    <w:rsid w:val="00CE00F9"/>
    <w:rsid w:val="00CE0CD6"/>
    <w:rsid w:val="00CE40C9"/>
    <w:rsid w:val="00CF06CB"/>
    <w:rsid w:val="00CF43BB"/>
    <w:rsid w:val="00CF64FB"/>
    <w:rsid w:val="00D01E71"/>
    <w:rsid w:val="00D038EA"/>
    <w:rsid w:val="00D07C98"/>
    <w:rsid w:val="00D07FC6"/>
    <w:rsid w:val="00D25072"/>
    <w:rsid w:val="00D33160"/>
    <w:rsid w:val="00D43260"/>
    <w:rsid w:val="00D43DB3"/>
    <w:rsid w:val="00D44E9E"/>
    <w:rsid w:val="00D45372"/>
    <w:rsid w:val="00D53A33"/>
    <w:rsid w:val="00D5743F"/>
    <w:rsid w:val="00D6180D"/>
    <w:rsid w:val="00D6451C"/>
    <w:rsid w:val="00D71D91"/>
    <w:rsid w:val="00D72CF2"/>
    <w:rsid w:val="00D7468A"/>
    <w:rsid w:val="00D75623"/>
    <w:rsid w:val="00D82E88"/>
    <w:rsid w:val="00D83BD3"/>
    <w:rsid w:val="00D92453"/>
    <w:rsid w:val="00D92CED"/>
    <w:rsid w:val="00D9467D"/>
    <w:rsid w:val="00D95BC2"/>
    <w:rsid w:val="00DA2A65"/>
    <w:rsid w:val="00DA3717"/>
    <w:rsid w:val="00DA4E4D"/>
    <w:rsid w:val="00DA6DE2"/>
    <w:rsid w:val="00DB4558"/>
    <w:rsid w:val="00DB7234"/>
    <w:rsid w:val="00DC2AFD"/>
    <w:rsid w:val="00DC3F90"/>
    <w:rsid w:val="00DC6B73"/>
    <w:rsid w:val="00DC7864"/>
    <w:rsid w:val="00DD011B"/>
    <w:rsid w:val="00DD14C7"/>
    <w:rsid w:val="00DD1BB5"/>
    <w:rsid w:val="00DD5FEC"/>
    <w:rsid w:val="00DD77BA"/>
    <w:rsid w:val="00DE1CFA"/>
    <w:rsid w:val="00DE3476"/>
    <w:rsid w:val="00DF359B"/>
    <w:rsid w:val="00DF5A31"/>
    <w:rsid w:val="00E01089"/>
    <w:rsid w:val="00E043DC"/>
    <w:rsid w:val="00E057D8"/>
    <w:rsid w:val="00E06745"/>
    <w:rsid w:val="00E10CEE"/>
    <w:rsid w:val="00E12EC5"/>
    <w:rsid w:val="00E13521"/>
    <w:rsid w:val="00E14E6B"/>
    <w:rsid w:val="00E176BC"/>
    <w:rsid w:val="00E1781E"/>
    <w:rsid w:val="00E2330F"/>
    <w:rsid w:val="00E24F83"/>
    <w:rsid w:val="00E254B0"/>
    <w:rsid w:val="00E365EB"/>
    <w:rsid w:val="00E45ED8"/>
    <w:rsid w:val="00E600E3"/>
    <w:rsid w:val="00E7069B"/>
    <w:rsid w:val="00E717AB"/>
    <w:rsid w:val="00E742FC"/>
    <w:rsid w:val="00E93175"/>
    <w:rsid w:val="00E95504"/>
    <w:rsid w:val="00E95C64"/>
    <w:rsid w:val="00EA7340"/>
    <w:rsid w:val="00EB2728"/>
    <w:rsid w:val="00EB3A4D"/>
    <w:rsid w:val="00EC0C47"/>
    <w:rsid w:val="00EC1812"/>
    <w:rsid w:val="00EC2C17"/>
    <w:rsid w:val="00EC6519"/>
    <w:rsid w:val="00ED2D87"/>
    <w:rsid w:val="00ED5E8A"/>
    <w:rsid w:val="00EE0E06"/>
    <w:rsid w:val="00EE153E"/>
    <w:rsid w:val="00EE2E50"/>
    <w:rsid w:val="00EE6659"/>
    <w:rsid w:val="00EF1E36"/>
    <w:rsid w:val="00EF24AC"/>
    <w:rsid w:val="00EF329B"/>
    <w:rsid w:val="00EF358C"/>
    <w:rsid w:val="00EF5946"/>
    <w:rsid w:val="00EF7C60"/>
    <w:rsid w:val="00F03EDD"/>
    <w:rsid w:val="00F05506"/>
    <w:rsid w:val="00F05FFC"/>
    <w:rsid w:val="00F0613A"/>
    <w:rsid w:val="00F06679"/>
    <w:rsid w:val="00F11FB5"/>
    <w:rsid w:val="00F126FC"/>
    <w:rsid w:val="00F16593"/>
    <w:rsid w:val="00F16DD2"/>
    <w:rsid w:val="00F16F08"/>
    <w:rsid w:val="00F1799E"/>
    <w:rsid w:val="00F203E4"/>
    <w:rsid w:val="00F35637"/>
    <w:rsid w:val="00F4039B"/>
    <w:rsid w:val="00F4163D"/>
    <w:rsid w:val="00F428E9"/>
    <w:rsid w:val="00F46C4C"/>
    <w:rsid w:val="00F46E76"/>
    <w:rsid w:val="00F47D6F"/>
    <w:rsid w:val="00F510C9"/>
    <w:rsid w:val="00F51133"/>
    <w:rsid w:val="00F562EC"/>
    <w:rsid w:val="00F64725"/>
    <w:rsid w:val="00F6733F"/>
    <w:rsid w:val="00F721DA"/>
    <w:rsid w:val="00F73DCF"/>
    <w:rsid w:val="00F755E2"/>
    <w:rsid w:val="00F80A6F"/>
    <w:rsid w:val="00F90AA8"/>
    <w:rsid w:val="00F9441C"/>
    <w:rsid w:val="00FA1205"/>
    <w:rsid w:val="00FA1A7B"/>
    <w:rsid w:val="00FA2231"/>
    <w:rsid w:val="00FB01F2"/>
    <w:rsid w:val="00FB3FC6"/>
    <w:rsid w:val="00FB42E4"/>
    <w:rsid w:val="00FB4603"/>
    <w:rsid w:val="00FC1B81"/>
    <w:rsid w:val="00FC5FD4"/>
    <w:rsid w:val="00FC773C"/>
    <w:rsid w:val="00FD1001"/>
    <w:rsid w:val="00FD5CAD"/>
    <w:rsid w:val="00FE3549"/>
    <w:rsid w:val="00FE3D44"/>
    <w:rsid w:val="00FF241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0BC"/>
  </w:style>
  <w:style w:type="paragraph" w:styleId="Heading1">
    <w:name w:val="heading 1"/>
    <w:basedOn w:val="Normal"/>
    <w:next w:val="Normal"/>
    <w:link w:val="Heading1Char"/>
    <w:uiPriority w:val="9"/>
    <w:qFormat/>
    <w:rsid w:val="00363A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D73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B60A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246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F24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F24A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F24A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F24A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unhideWhenUsed/>
    <w:rsid w:val="002E734D"/>
    <w:pPr>
      <w:spacing w:after="0" w:line="240" w:lineRule="auto"/>
    </w:pPr>
    <w:rPr>
      <w:sz w:val="20"/>
      <w:szCs w:val="20"/>
    </w:rPr>
  </w:style>
  <w:style w:type="character" w:customStyle="1" w:styleId="FootnoteTextChar">
    <w:name w:val="Footnote Text Char"/>
    <w:basedOn w:val="DefaultParagraphFont"/>
    <w:link w:val="FootnoteText"/>
    <w:uiPriority w:val="99"/>
    <w:rsid w:val="002E734D"/>
    <w:rPr>
      <w:sz w:val="20"/>
      <w:szCs w:val="20"/>
    </w:rPr>
  </w:style>
  <w:style w:type="character" w:styleId="FootnoteReference">
    <w:name w:val="footnote reference"/>
    <w:basedOn w:val="DefaultParagraphFont"/>
    <w:uiPriority w:val="99"/>
    <w:semiHidden/>
    <w:unhideWhenUsed/>
    <w:rsid w:val="002E734D"/>
    <w:rPr>
      <w:vertAlign w:val="superscript"/>
    </w:rPr>
  </w:style>
  <w:style w:type="paragraph" w:styleId="ListParagraph">
    <w:name w:val="List Paragraph"/>
    <w:basedOn w:val="Normal"/>
    <w:uiPriority w:val="34"/>
    <w:qFormat/>
    <w:rsid w:val="00363AB0"/>
    <w:pPr>
      <w:ind w:left="720"/>
      <w:contextualSpacing/>
    </w:pPr>
  </w:style>
  <w:style w:type="character" w:customStyle="1" w:styleId="Heading1Char">
    <w:name w:val="Heading 1 Char"/>
    <w:basedOn w:val="DefaultParagraphFont"/>
    <w:link w:val="Heading1"/>
    <w:uiPriority w:val="9"/>
    <w:rsid w:val="00363AB0"/>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04B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B2C"/>
    <w:rPr>
      <w:rFonts w:ascii="Tahoma" w:hAnsi="Tahoma" w:cs="Tahoma"/>
      <w:sz w:val="16"/>
      <w:szCs w:val="16"/>
    </w:rPr>
  </w:style>
  <w:style w:type="paragraph" w:styleId="Header">
    <w:name w:val="header"/>
    <w:basedOn w:val="Normal"/>
    <w:link w:val="HeaderChar"/>
    <w:unhideWhenUsed/>
    <w:rsid w:val="00623B9C"/>
    <w:pPr>
      <w:tabs>
        <w:tab w:val="center" w:pos="4680"/>
        <w:tab w:val="right" w:pos="9360"/>
      </w:tabs>
      <w:spacing w:after="0" w:line="240" w:lineRule="auto"/>
    </w:pPr>
  </w:style>
  <w:style w:type="character" w:customStyle="1" w:styleId="HeaderChar">
    <w:name w:val="Header Char"/>
    <w:basedOn w:val="DefaultParagraphFont"/>
    <w:link w:val="Header"/>
    <w:rsid w:val="00623B9C"/>
  </w:style>
  <w:style w:type="character" w:styleId="PageNumber">
    <w:name w:val="page number"/>
    <w:basedOn w:val="DefaultParagraphFont"/>
    <w:uiPriority w:val="99"/>
    <w:semiHidden/>
    <w:unhideWhenUsed/>
    <w:rsid w:val="00623B9C"/>
  </w:style>
  <w:style w:type="character" w:customStyle="1" w:styleId="Heading2Char">
    <w:name w:val="Heading 2 Char"/>
    <w:basedOn w:val="DefaultParagraphFont"/>
    <w:link w:val="Heading2"/>
    <w:uiPriority w:val="9"/>
    <w:rsid w:val="009D738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B60AB"/>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C23DD3"/>
    <w:rPr>
      <w:color w:val="0000FF" w:themeColor="hyperlink"/>
      <w:u w:val="single"/>
    </w:rPr>
  </w:style>
  <w:style w:type="paragraph" w:styleId="NoSpacing">
    <w:name w:val="No Spacing"/>
    <w:link w:val="NoSpacingChar"/>
    <w:uiPriority w:val="1"/>
    <w:qFormat/>
    <w:rsid w:val="00D72CF2"/>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D72CF2"/>
    <w:rPr>
      <w:rFonts w:eastAsiaTheme="minorEastAsia"/>
      <w:lang w:val="en-US" w:eastAsia="ja-JP"/>
    </w:rPr>
  </w:style>
  <w:style w:type="paragraph" w:styleId="TOCHeading">
    <w:name w:val="TOC Heading"/>
    <w:basedOn w:val="Heading1"/>
    <w:next w:val="Normal"/>
    <w:uiPriority w:val="39"/>
    <w:semiHidden/>
    <w:unhideWhenUsed/>
    <w:qFormat/>
    <w:rsid w:val="00A65CAF"/>
    <w:pPr>
      <w:outlineLvl w:val="9"/>
    </w:pPr>
    <w:rPr>
      <w:lang w:val="en-US" w:eastAsia="ja-JP"/>
    </w:rPr>
  </w:style>
  <w:style w:type="paragraph" w:styleId="TOC1">
    <w:name w:val="toc 1"/>
    <w:basedOn w:val="Normal"/>
    <w:next w:val="Normal"/>
    <w:autoRedefine/>
    <w:uiPriority w:val="39"/>
    <w:unhideWhenUsed/>
    <w:rsid w:val="00A65CAF"/>
    <w:pPr>
      <w:spacing w:after="100"/>
    </w:pPr>
  </w:style>
  <w:style w:type="paragraph" w:styleId="TOC2">
    <w:name w:val="toc 2"/>
    <w:basedOn w:val="Normal"/>
    <w:next w:val="Normal"/>
    <w:autoRedefine/>
    <w:uiPriority w:val="39"/>
    <w:unhideWhenUsed/>
    <w:rsid w:val="00A65CAF"/>
    <w:pPr>
      <w:spacing w:after="100"/>
      <w:ind w:left="220"/>
    </w:pPr>
  </w:style>
  <w:style w:type="paragraph" w:styleId="TOC3">
    <w:name w:val="toc 3"/>
    <w:basedOn w:val="Normal"/>
    <w:next w:val="Normal"/>
    <w:autoRedefine/>
    <w:uiPriority w:val="39"/>
    <w:unhideWhenUsed/>
    <w:rsid w:val="00A65CAF"/>
    <w:pPr>
      <w:spacing w:after="100"/>
      <w:ind w:left="440"/>
    </w:pPr>
  </w:style>
  <w:style w:type="character" w:customStyle="1" w:styleId="Heading4Char">
    <w:name w:val="Heading 4 Char"/>
    <w:basedOn w:val="DefaultParagraphFont"/>
    <w:link w:val="Heading4"/>
    <w:uiPriority w:val="9"/>
    <w:rsid w:val="00AE2462"/>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995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A6320"/>
    <w:rPr>
      <w:color w:val="800080" w:themeColor="followedHyperlink"/>
      <w:u w:val="single"/>
    </w:rPr>
  </w:style>
  <w:style w:type="character" w:styleId="CommentReference">
    <w:name w:val="annotation reference"/>
    <w:basedOn w:val="DefaultParagraphFont"/>
    <w:uiPriority w:val="99"/>
    <w:semiHidden/>
    <w:unhideWhenUsed/>
    <w:rsid w:val="007436B3"/>
    <w:rPr>
      <w:sz w:val="16"/>
      <w:szCs w:val="16"/>
    </w:rPr>
  </w:style>
  <w:style w:type="paragraph" w:styleId="CommentText">
    <w:name w:val="annotation text"/>
    <w:basedOn w:val="Normal"/>
    <w:link w:val="CommentTextChar"/>
    <w:uiPriority w:val="99"/>
    <w:semiHidden/>
    <w:unhideWhenUsed/>
    <w:rsid w:val="007436B3"/>
    <w:pPr>
      <w:spacing w:line="240" w:lineRule="auto"/>
    </w:pPr>
    <w:rPr>
      <w:sz w:val="20"/>
      <w:szCs w:val="20"/>
    </w:rPr>
  </w:style>
  <w:style w:type="character" w:customStyle="1" w:styleId="CommentTextChar">
    <w:name w:val="Comment Text Char"/>
    <w:basedOn w:val="DefaultParagraphFont"/>
    <w:link w:val="CommentText"/>
    <w:uiPriority w:val="99"/>
    <w:semiHidden/>
    <w:rsid w:val="007436B3"/>
    <w:rPr>
      <w:sz w:val="20"/>
      <w:szCs w:val="20"/>
    </w:rPr>
  </w:style>
  <w:style w:type="paragraph" w:styleId="CommentSubject">
    <w:name w:val="annotation subject"/>
    <w:basedOn w:val="CommentText"/>
    <w:next w:val="CommentText"/>
    <w:link w:val="CommentSubjectChar"/>
    <w:uiPriority w:val="99"/>
    <w:semiHidden/>
    <w:unhideWhenUsed/>
    <w:rsid w:val="007436B3"/>
    <w:rPr>
      <w:b/>
      <w:bCs/>
    </w:rPr>
  </w:style>
  <w:style w:type="character" w:customStyle="1" w:styleId="CommentSubjectChar">
    <w:name w:val="Comment Subject Char"/>
    <w:basedOn w:val="CommentTextChar"/>
    <w:link w:val="CommentSubject"/>
    <w:uiPriority w:val="99"/>
    <w:semiHidden/>
    <w:rsid w:val="007436B3"/>
    <w:rPr>
      <w:b/>
      <w:bCs/>
      <w:sz w:val="20"/>
      <w:szCs w:val="20"/>
    </w:rPr>
  </w:style>
  <w:style w:type="paragraph" w:customStyle="1" w:styleId="ActHead2">
    <w:name w:val="ActHead 2"/>
    <w:aliases w:val="p"/>
    <w:basedOn w:val="Normal"/>
    <w:next w:val="Normal"/>
    <w:qFormat/>
    <w:rsid w:val="003F5552"/>
    <w:pPr>
      <w:keepNext/>
      <w:keepLines/>
      <w:spacing w:before="280" w:after="0" w:line="240" w:lineRule="auto"/>
      <w:ind w:left="1134" w:hanging="1134"/>
      <w:outlineLvl w:val="1"/>
    </w:pPr>
    <w:rPr>
      <w:rFonts w:ascii="Times New Roman" w:eastAsia="Times New Roman" w:hAnsi="Times New Roman" w:cs="Times New Roman"/>
      <w:b/>
      <w:kern w:val="28"/>
      <w:sz w:val="32"/>
      <w:szCs w:val="20"/>
      <w:lang w:val="en-AU" w:eastAsia="en-AU"/>
    </w:rPr>
  </w:style>
  <w:style w:type="paragraph" w:customStyle="1" w:styleId="subsection">
    <w:name w:val="subsection"/>
    <w:aliases w:val="ss"/>
    <w:basedOn w:val="Normal"/>
    <w:link w:val="subsectionChar"/>
    <w:rsid w:val="003F5552"/>
    <w:pPr>
      <w:tabs>
        <w:tab w:val="right" w:pos="1021"/>
      </w:tabs>
      <w:spacing w:before="180" w:after="0" w:line="240" w:lineRule="auto"/>
      <w:ind w:left="1134" w:hanging="1134"/>
    </w:pPr>
    <w:rPr>
      <w:rFonts w:ascii="Times New Roman" w:eastAsia="Times New Roman" w:hAnsi="Times New Roman" w:cs="Times New Roman"/>
      <w:szCs w:val="20"/>
      <w:lang w:val="en-AU" w:eastAsia="en-AU"/>
    </w:rPr>
  </w:style>
  <w:style w:type="paragraph" w:customStyle="1" w:styleId="ActHead5">
    <w:name w:val="ActHead 5"/>
    <w:aliases w:val="s"/>
    <w:basedOn w:val="Normal"/>
    <w:next w:val="subsection"/>
    <w:qFormat/>
    <w:rsid w:val="003F5552"/>
    <w:pPr>
      <w:keepNext/>
      <w:keepLines/>
      <w:spacing w:before="280" w:after="0" w:line="240" w:lineRule="auto"/>
      <w:ind w:left="1134" w:hanging="1134"/>
      <w:outlineLvl w:val="4"/>
    </w:pPr>
    <w:rPr>
      <w:rFonts w:ascii="Times New Roman" w:eastAsia="Times New Roman" w:hAnsi="Times New Roman" w:cs="Times New Roman"/>
      <w:b/>
      <w:kern w:val="28"/>
      <w:sz w:val="24"/>
      <w:szCs w:val="20"/>
      <w:lang w:val="en-AU" w:eastAsia="en-AU"/>
    </w:rPr>
  </w:style>
  <w:style w:type="character" w:customStyle="1" w:styleId="subsectionChar">
    <w:name w:val="subsection Char"/>
    <w:aliases w:val="ss Char"/>
    <w:basedOn w:val="DefaultParagraphFont"/>
    <w:link w:val="subsection"/>
    <w:locked/>
    <w:rsid w:val="003F5552"/>
    <w:rPr>
      <w:rFonts w:ascii="Times New Roman" w:eastAsia="Times New Roman" w:hAnsi="Times New Roman" w:cs="Times New Roman"/>
      <w:szCs w:val="20"/>
      <w:lang w:val="en-AU" w:eastAsia="en-AU"/>
    </w:rPr>
  </w:style>
  <w:style w:type="character" w:customStyle="1" w:styleId="CharDivNo">
    <w:name w:val="CharDivNo"/>
    <w:basedOn w:val="DefaultParagraphFont"/>
    <w:qFormat/>
    <w:rsid w:val="003F5552"/>
  </w:style>
  <w:style w:type="character" w:customStyle="1" w:styleId="CharDivText">
    <w:name w:val="CharDivText"/>
    <w:basedOn w:val="DefaultParagraphFont"/>
    <w:qFormat/>
    <w:rsid w:val="003F5552"/>
  </w:style>
  <w:style w:type="character" w:customStyle="1" w:styleId="CharPartNo">
    <w:name w:val="CharPartNo"/>
    <w:basedOn w:val="DefaultParagraphFont"/>
    <w:qFormat/>
    <w:rsid w:val="003F5552"/>
  </w:style>
  <w:style w:type="character" w:customStyle="1" w:styleId="CharPartText">
    <w:name w:val="CharPartText"/>
    <w:basedOn w:val="DefaultParagraphFont"/>
    <w:qFormat/>
    <w:rsid w:val="003F5552"/>
  </w:style>
  <w:style w:type="character" w:customStyle="1" w:styleId="CharSectno">
    <w:name w:val="CharSectno"/>
    <w:basedOn w:val="DefaultParagraphFont"/>
    <w:qFormat/>
    <w:rsid w:val="003F5552"/>
  </w:style>
  <w:style w:type="paragraph" w:styleId="Footer">
    <w:name w:val="footer"/>
    <w:basedOn w:val="Normal"/>
    <w:link w:val="FooterChar"/>
    <w:uiPriority w:val="99"/>
    <w:unhideWhenUsed/>
    <w:rsid w:val="007B2B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B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0BC"/>
  </w:style>
  <w:style w:type="paragraph" w:styleId="Heading1">
    <w:name w:val="heading 1"/>
    <w:basedOn w:val="Normal"/>
    <w:next w:val="Normal"/>
    <w:link w:val="Heading1Char"/>
    <w:uiPriority w:val="9"/>
    <w:qFormat/>
    <w:rsid w:val="00363A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D73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B60A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246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F24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F24A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F24A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F24A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unhideWhenUsed/>
    <w:rsid w:val="002E734D"/>
    <w:pPr>
      <w:spacing w:after="0" w:line="240" w:lineRule="auto"/>
    </w:pPr>
    <w:rPr>
      <w:sz w:val="20"/>
      <w:szCs w:val="20"/>
    </w:rPr>
  </w:style>
  <w:style w:type="character" w:customStyle="1" w:styleId="FootnoteTextChar">
    <w:name w:val="Footnote Text Char"/>
    <w:basedOn w:val="DefaultParagraphFont"/>
    <w:link w:val="FootnoteText"/>
    <w:uiPriority w:val="99"/>
    <w:rsid w:val="002E734D"/>
    <w:rPr>
      <w:sz w:val="20"/>
      <w:szCs w:val="20"/>
    </w:rPr>
  </w:style>
  <w:style w:type="character" w:styleId="FootnoteReference">
    <w:name w:val="footnote reference"/>
    <w:basedOn w:val="DefaultParagraphFont"/>
    <w:uiPriority w:val="99"/>
    <w:semiHidden/>
    <w:unhideWhenUsed/>
    <w:rsid w:val="002E734D"/>
    <w:rPr>
      <w:vertAlign w:val="superscript"/>
    </w:rPr>
  </w:style>
  <w:style w:type="paragraph" w:styleId="ListParagraph">
    <w:name w:val="List Paragraph"/>
    <w:basedOn w:val="Normal"/>
    <w:uiPriority w:val="34"/>
    <w:qFormat/>
    <w:rsid w:val="00363AB0"/>
    <w:pPr>
      <w:ind w:left="720"/>
      <w:contextualSpacing/>
    </w:pPr>
  </w:style>
  <w:style w:type="character" w:customStyle="1" w:styleId="Heading1Char">
    <w:name w:val="Heading 1 Char"/>
    <w:basedOn w:val="DefaultParagraphFont"/>
    <w:link w:val="Heading1"/>
    <w:uiPriority w:val="9"/>
    <w:rsid w:val="00363AB0"/>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04B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B2C"/>
    <w:rPr>
      <w:rFonts w:ascii="Tahoma" w:hAnsi="Tahoma" w:cs="Tahoma"/>
      <w:sz w:val="16"/>
      <w:szCs w:val="16"/>
    </w:rPr>
  </w:style>
  <w:style w:type="paragraph" w:styleId="Header">
    <w:name w:val="header"/>
    <w:basedOn w:val="Normal"/>
    <w:link w:val="HeaderChar"/>
    <w:unhideWhenUsed/>
    <w:rsid w:val="00623B9C"/>
    <w:pPr>
      <w:tabs>
        <w:tab w:val="center" w:pos="4680"/>
        <w:tab w:val="right" w:pos="9360"/>
      </w:tabs>
      <w:spacing w:after="0" w:line="240" w:lineRule="auto"/>
    </w:pPr>
  </w:style>
  <w:style w:type="character" w:customStyle="1" w:styleId="HeaderChar">
    <w:name w:val="Header Char"/>
    <w:basedOn w:val="DefaultParagraphFont"/>
    <w:link w:val="Header"/>
    <w:rsid w:val="00623B9C"/>
  </w:style>
  <w:style w:type="character" w:styleId="PageNumber">
    <w:name w:val="page number"/>
    <w:basedOn w:val="DefaultParagraphFont"/>
    <w:uiPriority w:val="99"/>
    <w:semiHidden/>
    <w:unhideWhenUsed/>
    <w:rsid w:val="00623B9C"/>
  </w:style>
  <w:style w:type="character" w:customStyle="1" w:styleId="Heading2Char">
    <w:name w:val="Heading 2 Char"/>
    <w:basedOn w:val="DefaultParagraphFont"/>
    <w:link w:val="Heading2"/>
    <w:uiPriority w:val="9"/>
    <w:rsid w:val="009D738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B60AB"/>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C23DD3"/>
    <w:rPr>
      <w:color w:val="0000FF" w:themeColor="hyperlink"/>
      <w:u w:val="single"/>
    </w:rPr>
  </w:style>
  <w:style w:type="paragraph" w:styleId="NoSpacing">
    <w:name w:val="No Spacing"/>
    <w:link w:val="NoSpacingChar"/>
    <w:uiPriority w:val="1"/>
    <w:qFormat/>
    <w:rsid w:val="00D72CF2"/>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D72CF2"/>
    <w:rPr>
      <w:rFonts w:eastAsiaTheme="minorEastAsia"/>
      <w:lang w:val="en-US" w:eastAsia="ja-JP"/>
    </w:rPr>
  </w:style>
  <w:style w:type="paragraph" w:styleId="TOCHeading">
    <w:name w:val="TOC Heading"/>
    <w:basedOn w:val="Heading1"/>
    <w:next w:val="Normal"/>
    <w:uiPriority w:val="39"/>
    <w:semiHidden/>
    <w:unhideWhenUsed/>
    <w:qFormat/>
    <w:rsid w:val="00A65CAF"/>
    <w:pPr>
      <w:outlineLvl w:val="9"/>
    </w:pPr>
    <w:rPr>
      <w:lang w:val="en-US" w:eastAsia="ja-JP"/>
    </w:rPr>
  </w:style>
  <w:style w:type="paragraph" w:styleId="TOC1">
    <w:name w:val="toc 1"/>
    <w:basedOn w:val="Normal"/>
    <w:next w:val="Normal"/>
    <w:autoRedefine/>
    <w:uiPriority w:val="39"/>
    <w:unhideWhenUsed/>
    <w:rsid w:val="00A65CAF"/>
    <w:pPr>
      <w:spacing w:after="100"/>
    </w:pPr>
  </w:style>
  <w:style w:type="paragraph" w:styleId="TOC2">
    <w:name w:val="toc 2"/>
    <w:basedOn w:val="Normal"/>
    <w:next w:val="Normal"/>
    <w:autoRedefine/>
    <w:uiPriority w:val="39"/>
    <w:unhideWhenUsed/>
    <w:rsid w:val="00A65CAF"/>
    <w:pPr>
      <w:spacing w:after="100"/>
      <w:ind w:left="220"/>
    </w:pPr>
  </w:style>
  <w:style w:type="paragraph" w:styleId="TOC3">
    <w:name w:val="toc 3"/>
    <w:basedOn w:val="Normal"/>
    <w:next w:val="Normal"/>
    <w:autoRedefine/>
    <w:uiPriority w:val="39"/>
    <w:unhideWhenUsed/>
    <w:rsid w:val="00A65CAF"/>
    <w:pPr>
      <w:spacing w:after="100"/>
      <w:ind w:left="440"/>
    </w:pPr>
  </w:style>
  <w:style w:type="character" w:customStyle="1" w:styleId="Heading4Char">
    <w:name w:val="Heading 4 Char"/>
    <w:basedOn w:val="DefaultParagraphFont"/>
    <w:link w:val="Heading4"/>
    <w:uiPriority w:val="9"/>
    <w:rsid w:val="00AE2462"/>
    <w:rPr>
      <w:rFonts w:asciiTheme="majorHAnsi" w:eastAsiaTheme="majorEastAsia" w:hAnsiTheme="majorHAnsi" w:cstheme="majorBidi"/>
      <w:b/>
      <w:bCs/>
      <w:i/>
      <w:iCs/>
      <w:color w:val="4F81BD" w:themeColor="accent1"/>
    </w:rPr>
  </w:style>
  <w:style w:type="table" w:styleId="TableGrid">
    <w:name w:val="Table Grid"/>
    <w:basedOn w:val="TableNormal"/>
    <w:uiPriority w:val="59"/>
    <w:rsid w:val="00995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A6320"/>
    <w:rPr>
      <w:color w:val="800080" w:themeColor="followedHyperlink"/>
      <w:u w:val="single"/>
    </w:rPr>
  </w:style>
  <w:style w:type="character" w:styleId="CommentReference">
    <w:name w:val="annotation reference"/>
    <w:basedOn w:val="DefaultParagraphFont"/>
    <w:uiPriority w:val="99"/>
    <w:semiHidden/>
    <w:unhideWhenUsed/>
    <w:rsid w:val="007436B3"/>
    <w:rPr>
      <w:sz w:val="16"/>
      <w:szCs w:val="16"/>
    </w:rPr>
  </w:style>
  <w:style w:type="paragraph" w:styleId="CommentText">
    <w:name w:val="annotation text"/>
    <w:basedOn w:val="Normal"/>
    <w:link w:val="CommentTextChar"/>
    <w:uiPriority w:val="99"/>
    <w:semiHidden/>
    <w:unhideWhenUsed/>
    <w:rsid w:val="007436B3"/>
    <w:pPr>
      <w:spacing w:line="240" w:lineRule="auto"/>
    </w:pPr>
    <w:rPr>
      <w:sz w:val="20"/>
      <w:szCs w:val="20"/>
    </w:rPr>
  </w:style>
  <w:style w:type="character" w:customStyle="1" w:styleId="CommentTextChar">
    <w:name w:val="Comment Text Char"/>
    <w:basedOn w:val="DefaultParagraphFont"/>
    <w:link w:val="CommentText"/>
    <w:uiPriority w:val="99"/>
    <w:semiHidden/>
    <w:rsid w:val="007436B3"/>
    <w:rPr>
      <w:sz w:val="20"/>
      <w:szCs w:val="20"/>
    </w:rPr>
  </w:style>
  <w:style w:type="paragraph" w:styleId="CommentSubject">
    <w:name w:val="annotation subject"/>
    <w:basedOn w:val="CommentText"/>
    <w:next w:val="CommentText"/>
    <w:link w:val="CommentSubjectChar"/>
    <w:uiPriority w:val="99"/>
    <w:semiHidden/>
    <w:unhideWhenUsed/>
    <w:rsid w:val="007436B3"/>
    <w:rPr>
      <w:b/>
      <w:bCs/>
    </w:rPr>
  </w:style>
  <w:style w:type="character" w:customStyle="1" w:styleId="CommentSubjectChar">
    <w:name w:val="Comment Subject Char"/>
    <w:basedOn w:val="CommentTextChar"/>
    <w:link w:val="CommentSubject"/>
    <w:uiPriority w:val="99"/>
    <w:semiHidden/>
    <w:rsid w:val="007436B3"/>
    <w:rPr>
      <w:b/>
      <w:bCs/>
      <w:sz w:val="20"/>
      <w:szCs w:val="20"/>
    </w:rPr>
  </w:style>
  <w:style w:type="paragraph" w:customStyle="1" w:styleId="ActHead2">
    <w:name w:val="ActHead 2"/>
    <w:aliases w:val="p"/>
    <w:basedOn w:val="Normal"/>
    <w:next w:val="Normal"/>
    <w:qFormat/>
    <w:rsid w:val="003F5552"/>
    <w:pPr>
      <w:keepNext/>
      <w:keepLines/>
      <w:spacing w:before="280" w:after="0" w:line="240" w:lineRule="auto"/>
      <w:ind w:left="1134" w:hanging="1134"/>
      <w:outlineLvl w:val="1"/>
    </w:pPr>
    <w:rPr>
      <w:rFonts w:ascii="Times New Roman" w:eastAsia="Times New Roman" w:hAnsi="Times New Roman" w:cs="Times New Roman"/>
      <w:b/>
      <w:kern w:val="28"/>
      <w:sz w:val="32"/>
      <w:szCs w:val="20"/>
      <w:lang w:val="en-AU" w:eastAsia="en-AU"/>
    </w:rPr>
  </w:style>
  <w:style w:type="paragraph" w:customStyle="1" w:styleId="subsection">
    <w:name w:val="subsection"/>
    <w:aliases w:val="ss"/>
    <w:basedOn w:val="Normal"/>
    <w:link w:val="subsectionChar"/>
    <w:rsid w:val="003F5552"/>
    <w:pPr>
      <w:tabs>
        <w:tab w:val="right" w:pos="1021"/>
      </w:tabs>
      <w:spacing w:before="180" w:after="0" w:line="240" w:lineRule="auto"/>
      <w:ind w:left="1134" w:hanging="1134"/>
    </w:pPr>
    <w:rPr>
      <w:rFonts w:ascii="Times New Roman" w:eastAsia="Times New Roman" w:hAnsi="Times New Roman" w:cs="Times New Roman"/>
      <w:szCs w:val="20"/>
      <w:lang w:val="en-AU" w:eastAsia="en-AU"/>
    </w:rPr>
  </w:style>
  <w:style w:type="paragraph" w:customStyle="1" w:styleId="ActHead5">
    <w:name w:val="ActHead 5"/>
    <w:aliases w:val="s"/>
    <w:basedOn w:val="Normal"/>
    <w:next w:val="subsection"/>
    <w:qFormat/>
    <w:rsid w:val="003F5552"/>
    <w:pPr>
      <w:keepNext/>
      <w:keepLines/>
      <w:spacing w:before="280" w:after="0" w:line="240" w:lineRule="auto"/>
      <w:ind w:left="1134" w:hanging="1134"/>
      <w:outlineLvl w:val="4"/>
    </w:pPr>
    <w:rPr>
      <w:rFonts w:ascii="Times New Roman" w:eastAsia="Times New Roman" w:hAnsi="Times New Roman" w:cs="Times New Roman"/>
      <w:b/>
      <w:kern w:val="28"/>
      <w:sz w:val="24"/>
      <w:szCs w:val="20"/>
      <w:lang w:val="en-AU" w:eastAsia="en-AU"/>
    </w:rPr>
  </w:style>
  <w:style w:type="character" w:customStyle="1" w:styleId="subsectionChar">
    <w:name w:val="subsection Char"/>
    <w:aliases w:val="ss Char"/>
    <w:basedOn w:val="DefaultParagraphFont"/>
    <w:link w:val="subsection"/>
    <w:locked/>
    <w:rsid w:val="003F5552"/>
    <w:rPr>
      <w:rFonts w:ascii="Times New Roman" w:eastAsia="Times New Roman" w:hAnsi="Times New Roman" w:cs="Times New Roman"/>
      <w:szCs w:val="20"/>
      <w:lang w:val="en-AU" w:eastAsia="en-AU"/>
    </w:rPr>
  </w:style>
  <w:style w:type="character" w:customStyle="1" w:styleId="CharDivNo">
    <w:name w:val="CharDivNo"/>
    <w:basedOn w:val="DefaultParagraphFont"/>
    <w:qFormat/>
    <w:rsid w:val="003F5552"/>
  </w:style>
  <w:style w:type="character" w:customStyle="1" w:styleId="CharDivText">
    <w:name w:val="CharDivText"/>
    <w:basedOn w:val="DefaultParagraphFont"/>
    <w:qFormat/>
    <w:rsid w:val="003F5552"/>
  </w:style>
  <w:style w:type="character" w:customStyle="1" w:styleId="CharPartNo">
    <w:name w:val="CharPartNo"/>
    <w:basedOn w:val="DefaultParagraphFont"/>
    <w:qFormat/>
    <w:rsid w:val="003F5552"/>
  </w:style>
  <w:style w:type="character" w:customStyle="1" w:styleId="CharPartText">
    <w:name w:val="CharPartText"/>
    <w:basedOn w:val="DefaultParagraphFont"/>
    <w:qFormat/>
    <w:rsid w:val="003F5552"/>
  </w:style>
  <w:style w:type="character" w:customStyle="1" w:styleId="CharSectno">
    <w:name w:val="CharSectno"/>
    <w:basedOn w:val="DefaultParagraphFont"/>
    <w:qFormat/>
    <w:rsid w:val="003F5552"/>
  </w:style>
  <w:style w:type="paragraph" w:styleId="Footer">
    <w:name w:val="footer"/>
    <w:basedOn w:val="Normal"/>
    <w:link w:val="FooterChar"/>
    <w:uiPriority w:val="99"/>
    <w:unhideWhenUsed/>
    <w:rsid w:val="007B2B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B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84231">
      <w:bodyDiv w:val="1"/>
      <w:marLeft w:val="0"/>
      <w:marRight w:val="0"/>
      <w:marTop w:val="0"/>
      <w:marBottom w:val="0"/>
      <w:divBdr>
        <w:top w:val="none" w:sz="0" w:space="0" w:color="auto"/>
        <w:left w:val="none" w:sz="0" w:space="0" w:color="auto"/>
        <w:bottom w:val="none" w:sz="0" w:space="0" w:color="auto"/>
        <w:right w:val="none" w:sz="0" w:space="0" w:color="auto"/>
      </w:divBdr>
    </w:div>
    <w:div w:id="56637454">
      <w:bodyDiv w:val="1"/>
      <w:marLeft w:val="0"/>
      <w:marRight w:val="0"/>
      <w:marTop w:val="0"/>
      <w:marBottom w:val="0"/>
      <w:divBdr>
        <w:top w:val="none" w:sz="0" w:space="0" w:color="auto"/>
        <w:left w:val="none" w:sz="0" w:space="0" w:color="auto"/>
        <w:bottom w:val="none" w:sz="0" w:space="0" w:color="auto"/>
        <w:right w:val="none" w:sz="0" w:space="0" w:color="auto"/>
      </w:divBdr>
    </w:div>
    <w:div w:id="244607646">
      <w:bodyDiv w:val="1"/>
      <w:marLeft w:val="0"/>
      <w:marRight w:val="0"/>
      <w:marTop w:val="0"/>
      <w:marBottom w:val="0"/>
      <w:divBdr>
        <w:top w:val="none" w:sz="0" w:space="0" w:color="auto"/>
        <w:left w:val="none" w:sz="0" w:space="0" w:color="auto"/>
        <w:bottom w:val="none" w:sz="0" w:space="0" w:color="auto"/>
        <w:right w:val="none" w:sz="0" w:space="0" w:color="auto"/>
      </w:divBdr>
    </w:div>
    <w:div w:id="329524379">
      <w:bodyDiv w:val="1"/>
      <w:marLeft w:val="0"/>
      <w:marRight w:val="0"/>
      <w:marTop w:val="0"/>
      <w:marBottom w:val="0"/>
      <w:divBdr>
        <w:top w:val="none" w:sz="0" w:space="0" w:color="auto"/>
        <w:left w:val="none" w:sz="0" w:space="0" w:color="auto"/>
        <w:bottom w:val="none" w:sz="0" w:space="0" w:color="auto"/>
        <w:right w:val="none" w:sz="0" w:space="0" w:color="auto"/>
      </w:divBdr>
    </w:div>
    <w:div w:id="363747595">
      <w:bodyDiv w:val="1"/>
      <w:marLeft w:val="0"/>
      <w:marRight w:val="0"/>
      <w:marTop w:val="0"/>
      <w:marBottom w:val="0"/>
      <w:divBdr>
        <w:top w:val="none" w:sz="0" w:space="0" w:color="auto"/>
        <w:left w:val="none" w:sz="0" w:space="0" w:color="auto"/>
        <w:bottom w:val="none" w:sz="0" w:space="0" w:color="auto"/>
        <w:right w:val="none" w:sz="0" w:space="0" w:color="auto"/>
      </w:divBdr>
    </w:div>
    <w:div w:id="372462418">
      <w:bodyDiv w:val="1"/>
      <w:marLeft w:val="0"/>
      <w:marRight w:val="0"/>
      <w:marTop w:val="0"/>
      <w:marBottom w:val="0"/>
      <w:divBdr>
        <w:top w:val="none" w:sz="0" w:space="0" w:color="auto"/>
        <w:left w:val="none" w:sz="0" w:space="0" w:color="auto"/>
        <w:bottom w:val="none" w:sz="0" w:space="0" w:color="auto"/>
        <w:right w:val="none" w:sz="0" w:space="0" w:color="auto"/>
      </w:divBdr>
    </w:div>
    <w:div w:id="626089975">
      <w:bodyDiv w:val="1"/>
      <w:marLeft w:val="0"/>
      <w:marRight w:val="0"/>
      <w:marTop w:val="0"/>
      <w:marBottom w:val="0"/>
      <w:divBdr>
        <w:top w:val="none" w:sz="0" w:space="0" w:color="auto"/>
        <w:left w:val="none" w:sz="0" w:space="0" w:color="auto"/>
        <w:bottom w:val="none" w:sz="0" w:space="0" w:color="auto"/>
        <w:right w:val="none" w:sz="0" w:space="0" w:color="auto"/>
      </w:divBdr>
    </w:div>
    <w:div w:id="714278533">
      <w:bodyDiv w:val="1"/>
      <w:marLeft w:val="0"/>
      <w:marRight w:val="0"/>
      <w:marTop w:val="0"/>
      <w:marBottom w:val="0"/>
      <w:divBdr>
        <w:top w:val="none" w:sz="0" w:space="0" w:color="auto"/>
        <w:left w:val="none" w:sz="0" w:space="0" w:color="auto"/>
        <w:bottom w:val="none" w:sz="0" w:space="0" w:color="auto"/>
        <w:right w:val="none" w:sz="0" w:space="0" w:color="auto"/>
      </w:divBdr>
    </w:div>
    <w:div w:id="938945424">
      <w:bodyDiv w:val="1"/>
      <w:marLeft w:val="0"/>
      <w:marRight w:val="0"/>
      <w:marTop w:val="0"/>
      <w:marBottom w:val="0"/>
      <w:divBdr>
        <w:top w:val="none" w:sz="0" w:space="0" w:color="auto"/>
        <w:left w:val="none" w:sz="0" w:space="0" w:color="auto"/>
        <w:bottom w:val="none" w:sz="0" w:space="0" w:color="auto"/>
        <w:right w:val="none" w:sz="0" w:space="0" w:color="auto"/>
      </w:divBdr>
    </w:div>
    <w:div w:id="1118375361">
      <w:bodyDiv w:val="1"/>
      <w:marLeft w:val="0"/>
      <w:marRight w:val="0"/>
      <w:marTop w:val="0"/>
      <w:marBottom w:val="0"/>
      <w:divBdr>
        <w:top w:val="none" w:sz="0" w:space="0" w:color="auto"/>
        <w:left w:val="none" w:sz="0" w:space="0" w:color="auto"/>
        <w:bottom w:val="none" w:sz="0" w:space="0" w:color="auto"/>
        <w:right w:val="none" w:sz="0" w:space="0" w:color="auto"/>
      </w:divBdr>
    </w:div>
    <w:div w:id="1211572921">
      <w:bodyDiv w:val="1"/>
      <w:marLeft w:val="0"/>
      <w:marRight w:val="0"/>
      <w:marTop w:val="0"/>
      <w:marBottom w:val="0"/>
      <w:divBdr>
        <w:top w:val="none" w:sz="0" w:space="0" w:color="auto"/>
        <w:left w:val="none" w:sz="0" w:space="0" w:color="auto"/>
        <w:bottom w:val="none" w:sz="0" w:space="0" w:color="auto"/>
        <w:right w:val="none" w:sz="0" w:space="0" w:color="auto"/>
      </w:divBdr>
    </w:div>
    <w:div w:id="1225028210">
      <w:bodyDiv w:val="1"/>
      <w:marLeft w:val="0"/>
      <w:marRight w:val="0"/>
      <w:marTop w:val="0"/>
      <w:marBottom w:val="0"/>
      <w:divBdr>
        <w:top w:val="none" w:sz="0" w:space="0" w:color="auto"/>
        <w:left w:val="none" w:sz="0" w:space="0" w:color="auto"/>
        <w:bottom w:val="none" w:sz="0" w:space="0" w:color="auto"/>
        <w:right w:val="none" w:sz="0" w:space="0" w:color="auto"/>
      </w:divBdr>
    </w:div>
    <w:div w:id="1275208977">
      <w:bodyDiv w:val="1"/>
      <w:marLeft w:val="0"/>
      <w:marRight w:val="0"/>
      <w:marTop w:val="0"/>
      <w:marBottom w:val="0"/>
      <w:divBdr>
        <w:top w:val="none" w:sz="0" w:space="0" w:color="auto"/>
        <w:left w:val="none" w:sz="0" w:space="0" w:color="auto"/>
        <w:bottom w:val="none" w:sz="0" w:space="0" w:color="auto"/>
        <w:right w:val="none" w:sz="0" w:space="0" w:color="auto"/>
      </w:divBdr>
    </w:div>
    <w:div w:id="1308432493">
      <w:bodyDiv w:val="1"/>
      <w:marLeft w:val="0"/>
      <w:marRight w:val="0"/>
      <w:marTop w:val="0"/>
      <w:marBottom w:val="0"/>
      <w:divBdr>
        <w:top w:val="none" w:sz="0" w:space="0" w:color="auto"/>
        <w:left w:val="none" w:sz="0" w:space="0" w:color="auto"/>
        <w:bottom w:val="none" w:sz="0" w:space="0" w:color="auto"/>
        <w:right w:val="none" w:sz="0" w:space="0" w:color="auto"/>
      </w:divBdr>
    </w:div>
    <w:div w:id="1396658146">
      <w:bodyDiv w:val="1"/>
      <w:marLeft w:val="0"/>
      <w:marRight w:val="0"/>
      <w:marTop w:val="0"/>
      <w:marBottom w:val="0"/>
      <w:divBdr>
        <w:top w:val="none" w:sz="0" w:space="0" w:color="auto"/>
        <w:left w:val="none" w:sz="0" w:space="0" w:color="auto"/>
        <w:bottom w:val="none" w:sz="0" w:space="0" w:color="auto"/>
        <w:right w:val="none" w:sz="0" w:space="0" w:color="auto"/>
      </w:divBdr>
    </w:div>
    <w:div w:id="1837378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au/Details/F2011C00213" TargetMode="External"/><Relationship Id="rId18" Type="http://schemas.openxmlformats.org/officeDocument/2006/relationships/hyperlink" Target="https://www.ontario.ca/laws/regulation/110191" TargetMode="External"/><Relationship Id="rId26" Type="http://schemas.openxmlformats.org/officeDocument/2006/relationships/hyperlink" Target="https://www.legislation.gov.uk/ukpga/2005/13/contents" TargetMode="External"/><Relationship Id="rId39" Type="http://schemas.openxmlformats.org/officeDocument/2006/relationships/hyperlink" Target="http://www.bchrt.bc.ca/shareddocs/annual_reports/2007-2008.pdf" TargetMode="External"/><Relationship Id="rId21" Type="http://schemas.openxmlformats.org/officeDocument/2006/relationships/hyperlink" Target="https://www.canlii.org/en/mb/laws/stat/ccsm-c-a1.7/latest/ccsm-c-a1.7.html" TargetMode="External"/><Relationship Id="rId34" Type="http://schemas.openxmlformats.org/officeDocument/2006/relationships/hyperlink" Target="https://adata.org/" TargetMode="External"/><Relationship Id="rId42" Type="http://schemas.openxmlformats.org/officeDocument/2006/relationships/hyperlink" Target="https://www.chrc-ccdp.gc.ca/eng/content/annual-report-2016" TargetMode="External"/><Relationship Id="rId47" Type="http://schemas.openxmlformats.org/officeDocument/2006/relationships/hyperlink" Target="http://www.grants.gov.on.ca/GrantsPortal/en/OntarioGrants/GrantOpportunities/PRDR006997" TargetMode="External"/><Relationship Id="rId50" Type="http://schemas.openxmlformats.org/officeDocument/2006/relationships/hyperlink" Target="https://dr6j45jk9xcmk.cloudfront.net/documents/4845/guidelines-to-iasr-english.pdf" TargetMode="External"/><Relationship Id="rId55" Type="http://schemas.openxmlformats.org/officeDocument/2006/relationships/hyperlink" Target="http://www.ohrc.on.ca/en/learning/working-together-code-and-aoda" TargetMode="External"/><Relationship Id="rId63" Type="http://schemas.openxmlformats.org/officeDocument/2006/relationships/hyperlink" Target="http://www.ohchr.org/EN/HRBodies/CRPD/Pages/CallPersonsDisabilitiesEqualityResponsability.aspx" TargetMode="External"/><Relationship Id="rId68" Type="http://schemas.openxmlformats.org/officeDocument/2006/relationships/hyperlink" Target="https://works.bepress.com/laverne-jacobs/4/" TargetMode="External"/><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https://www.ada.gov/altamarea_sa.html" TargetMode="External"/><Relationship Id="rId2" Type="http://schemas.openxmlformats.org/officeDocument/2006/relationships/customXml" Target="../customXml/item2.xml"/><Relationship Id="rId16" Type="http://schemas.openxmlformats.org/officeDocument/2006/relationships/hyperlink" Target="http://laws.justice.gc.ca/eng/acts/H-6/FullText.html" TargetMode="External"/><Relationship Id="rId29" Type="http://schemas.openxmlformats.org/officeDocument/2006/relationships/hyperlink" Target="http://www.legislation.gov.uk/uksi/2000/1970/contents/made" TargetMode="External"/><Relationship Id="rId11" Type="http://schemas.openxmlformats.org/officeDocument/2006/relationships/hyperlink" Target="https://www.legislation.gov.au/Details/C2017C00339" TargetMode="External"/><Relationship Id="rId24" Type="http://schemas.openxmlformats.org/officeDocument/2006/relationships/hyperlink" Target="https://www.canlii.org/en/ns/laws/stat/rsns-1989-c-214/latest/rsns-1989-c-214.html" TargetMode="External"/><Relationship Id="rId32" Type="http://schemas.openxmlformats.org/officeDocument/2006/relationships/hyperlink" Target="https://www.ada.gov/2010_regs.htm" TargetMode="External"/><Relationship Id="rId37" Type="http://schemas.openxmlformats.org/officeDocument/2006/relationships/hyperlink" Target="http://www.humanrights.gov.au/our-work/legal/publications/federal-discrimination-law-2016" TargetMode="External"/><Relationship Id="rId40" Type="http://schemas.openxmlformats.org/officeDocument/2006/relationships/hyperlink" Target="http://www.bchrt.bc.ca/shareddocs/annual_reports/2015-2016.pdf" TargetMode="External"/><Relationship Id="rId45" Type="http://schemas.openxmlformats.org/officeDocument/2006/relationships/hyperlink" Target="https://www.ontario.ca/page/accessibility-compliance-and-enforcement-report-2016" TargetMode="External"/><Relationship Id="rId53" Type="http://schemas.openxmlformats.org/officeDocument/2006/relationships/hyperlink" Target="http://irpp.org/research-studies/study-no60/" TargetMode="External"/><Relationship Id="rId58" Type="http://schemas.openxmlformats.org/officeDocument/2006/relationships/hyperlink" Target="https://www.equalityhumanrights.com/en/court-action" TargetMode="External"/><Relationship Id="rId66" Type="http://schemas.openxmlformats.org/officeDocument/2006/relationships/hyperlink" Target="https://www.ada.gov/enforce_footer.htm" TargetMode="External"/><Relationship Id="rId74"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laws.justice.gc.ca/eng/Const/page-15.html" TargetMode="External"/><Relationship Id="rId23" Type="http://schemas.openxmlformats.org/officeDocument/2006/relationships/hyperlink" Target="https://www.nslegislature.ca/legc/bills/62nd_3rd/3rd_read/b059.htm" TargetMode="External"/><Relationship Id="rId28" Type="http://schemas.openxmlformats.org/officeDocument/2006/relationships/hyperlink" Target="https://www.legislation.gov.uk/ukpga/2010/15/contents" TargetMode="External"/><Relationship Id="rId36" Type="http://schemas.openxmlformats.org/officeDocument/2006/relationships/hyperlink" Target="https://www.humanrights.gov.au/human-rights-explained-fact-sheet-7australia-and-human-rights-treaties" TargetMode="External"/><Relationship Id="rId49" Type="http://schemas.openxmlformats.org/officeDocument/2006/relationships/hyperlink" Target="https://www.youtube.com/watch?v=AfjaFWSNnZs" TargetMode="External"/><Relationship Id="rId57" Type="http://schemas.openxmlformats.org/officeDocument/2006/relationships/hyperlink" Target="https://www.equalityhumanrights.com/en/legal-responses/strategic-litigation/strategic-litigation-policy" TargetMode="External"/><Relationship Id="rId61" Type="http://schemas.openxmlformats.org/officeDocument/2006/relationships/hyperlink" Target="https://www.equalityhumanrights.com/en/publication-download/services-public-functions-and-associations-statutory-code-practice" TargetMode="External"/><Relationship Id="rId10" Type="http://schemas.openxmlformats.org/officeDocument/2006/relationships/hyperlink" Target="https://www.legislation.gov.au/Details/C2017C00143" TargetMode="External"/><Relationship Id="rId19" Type="http://schemas.openxmlformats.org/officeDocument/2006/relationships/hyperlink" Target="https://www.ontario.ca/laws/statute/90h19" TargetMode="External"/><Relationship Id="rId31" Type="http://schemas.openxmlformats.org/officeDocument/2006/relationships/hyperlink" Target="https://www.ada.gov/pubs/adastatute08.htm" TargetMode="External"/><Relationship Id="rId44" Type="http://schemas.openxmlformats.org/officeDocument/2006/relationships/hyperlink" Target="https://www.canada.ca/en/employment-social-development/programs/planned-accessibility-legislation/reports/consultations-what-we-learned.html" TargetMode="External"/><Relationship Id="rId52" Type="http://schemas.openxmlformats.org/officeDocument/2006/relationships/hyperlink" Target="http://www.ccdonline.ca/en/socialpolicy/poverty-citizenship/demographic-profile/income-sources-of-poor-people-with-disabilities" TargetMode="External"/><Relationship Id="rId60" Type="http://schemas.openxmlformats.org/officeDocument/2006/relationships/hyperlink" Target="https://www.equalityhumanrights.com/en/court-action" TargetMode="External"/><Relationship Id="rId65" Type="http://schemas.openxmlformats.org/officeDocument/2006/relationships/hyperlink" Target="https://www.access-board.gov/the-board/rulemaking" TargetMode="External"/><Relationship Id="rId73"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legislation.gov.au/Details/F2005L00767" TargetMode="External"/><Relationship Id="rId22" Type="http://schemas.openxmlformats.org/officeDocument/2006/relationships/hyperlink" Target="https://www.canlii.org/en/mb/laws/regu/man-reg-171-2015/latest/man-reg-171-2015.html" TargetMode="External"/><Relationship Id="rId27" Type="http://schemas.openxmlformats.org/officeDocument/2006/relationships/hyperlink" Target="https://www.legislation.gov.uk/ukpga/2006/3/contents" TargetMode="External"/><Relationship Id="rId30" Type="http://schemas.openxmlformats.org/officeDocument/2006/relationships/hyperlink" Target="http://www.legislation.gov.uk/uksi/2010/432/pdfs/uksi_20100432_en.pdf" TargetMode="External"/><Relationship Id="rId35" Type="http://schemas.openxmlformats.org/officeDocument/2006/relationships/hyperlink" Target="http://www.humanrights.gov.au/disability-discrimination-act-action-plans-guide-business" TargetMode="External"/><Relationship Id="rId43" Type="http://schemas.openxmlformats.org/officeDocument/2006/relationships/hyperlink" Target="https://www.equalityadvisoryservice.com/" TargetMode="External"/><Relationship Id="rId48" Type="http://schemas.openxmlformats.org/officeDocument/2006/relationships/hyperlink" Target="https://dr6j45jk9xcmk.cloudfront.net/documents/4845/guidelines-to-iasr-english.pdf" TargetMode="External"/><Relationship Id="rId56" Type="http://schemas.openxmlformats.org/officeDocument/2006/relationships/hyperlink" Target="http://www.statcan.gc.ca/pub/75-006-x/2017001/article/54854-eng.htm" TargetMode="External"/><Relationship Id="rId64" Type="http://schemas.openxmlformats.org/officeDocument/2006/relationships/hyperlink" Target="https://www.access-board.gov/the-board" TargetMode="External"/><Relationship Id="rId69" Type="http://schemas.openxmlformats.org/officeDocument/2006/relationships/hyperlink" Target="http://cjds.uwaterloo.ca/index.php/cjds/article/view/313" TargetMode="External"/><Relationship Id="rId8" Type="http://schemas.openxmlformats.org/officeDocument/2006/relationships/footnotes" Target="footnotes.xml"/><Relationship Id="rId51" Type="http://schemas.openxmlformats.org/officeDocument/2006/relationships/hyperlink" Target="https://www.ontario.ca/page/accessible-workplaces" TargetMode="External"/><Relationship Id="rId72" Type="http://schemas.openxmlformats.org/officeDocument/2006/relationships/header" Target="header1.xml"/><Relationship Id="rId3" Type="http://schemas.openxmlformats.org/officeDocument/2006/relationships/numbering" Target="numbering.xml"/><Relationship Id="rId12" Type="http://schemas.openxmlformats.org/officeDocument/2006/relationships/hyperlink" Target="https://www.legislation.gov.au/Details/F2011C00214" TargetMode="External"/><Relationship Id="rId17" Type="http://schemas.openxmlformats.org/officeDocument/2006/relationships/hyperlink" Target="https://www.ontario.ca/laws/statute/05a11" TargetMode="External"/><Relationship Id="rId25" Type="http://schemas.openxmlformats.org/officeDocument/2006/relationships/hyperlink" Target="https://www.legislation.gov.uk/ukpga/1995/50/contents" TargetMode="External"/><Relationship Id="rId33" Type="http://schemas.openxmlformats.org/officeDocument/2006/relationships/hyperlink" Target="http://www.ohchr.org/EN/HRBodies/CRPD/Pages/ConventionRightsPersonsWithDisabilities.aspx" TargetMode="External"/><Relationship Id="rId38" Type="http://schemas.openxmlformats.org/officeDocument/2006/relationships/hyperlink" Target="http://www.bchrt.bc.ca/shareddocs/annual_reports/2006-2007.pdf" TargetMode="External"/><Relationship Id="rId46" Type="http://schemas.openxmlformats.org/officeDocument/2006/relationships/hyperlink" Target="https://www.ontario.ca/page/accessible-workplaces" TargetMode="External"/><Relationship Id="rId59" Type="http://schemas.openxmlformats.org/officeDocument/2006/relationships/hyperlink" Target="https://www.equalityhumanrights.com/en/our-powers/inquiries-investigations-and-wider-powers" TargetMode="External"/><Relationship Id="rId67" Type="http://schemas.openxmlformats.org/officeDocument/2006/relationships/hyperlink" Target="http://ojs.imodev.org/index.php/RIGO/article/view/49" TargetMode="External"/><Relationship Id="rId20" Type="http://schemas.openxmlformats.org/officeDocument/2006/relationships/hyperlink" Target="https://www.ontario.ca/laws/statute/01o32" TargetMode="External"/><Relationship Id="rId41" Type="http://schemas.openxmlformats.org/officeDocument/2006/relationships/hyperlink" Target="https://www.chrc-ccdp.gc.ca/eng/content/left-out-challenges-faced-persons-disabilities-canadas-schools" TargetMode="External"/><Relationship Id="rId54" Type="http://schemas.openxmlformats.org/officeDocument/2006/relationships/hyperlink" Target="https://www.ontario.ca/document/legislative-review-accessibility-ontarians-disabilities-act" TargetMode="External"/><Relationship Id="rId62" Type="http://schemas.openxmlformats.org/officeDocument/2006/relationships/hyperlink" Target="http://orr.gov.uk/rail/health-and-safety/health-and-safety-enforcement" TargetMode="External"/><Relationship Id="rId70" Type="http://schemas.openxmlformats.org/officeDocument/2006/relationships/hyperlink" Target="https://www.thestar.com/news/gta/2014/02/20/ontario_vows_to_enforce_accessibility_law.html"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s>
</file>

<file path=word/_rels/footnotes.xml.rels><?xml version="1.0" encoding="UTF-8" standalone="yes"?>
<Relationships xmlns="http://schemas.openxmlformats.org/package/2006/relationships"><Relationship Id="rId8" Type="http://schemas.openxmlformats.org/officeDocument/2006/relationships/hyperlink" Target="http://irpp.org/research-studies/study-no60/" TargetMode="External"/><Relationship Id="rId13" Type="http://schemas.openxmlformats.org/officeDocument/2006/relationships/hyperlink" Target="http://canlii.ca/t/gsq30" TargetMode="External"/><Relationship Id="rId18" Type="http://schemas.openxmlformats.org/officeDocument/2006/relationships/hyperlink" Target="https://www.ontario.ca/laws/statute/01o32" TargetMode="External"/><Relationship Id="rId26" Type="http://schemas.openxmlformats.org/officeDocument/2006/relationships/hyperlink" Target="https://www.thestar.com/news/gta/2014/02/20/ontario_vows_to_enforce_accessibility_law.html" TargetMode="External"/><Relationship Id="rId3" Type="http://schemas.openxmlformats.org/officeDocument/2006/relationships/hyperlink" Target="http://www.ohchr.org/EN/HRBodies/CRPD/Pages/CallPersonsDisabilitiesEqualityResponsability.aspx" TargetMode="External"/><Relationship Id="rId21" Type="http://schemas.openxmlformats.org/officeDocument/2006/relationships/hyperlink" Target="https://www.legislation.gov.au/Details/F2005L00767" TargetMode="External"/><Relationship Id="rId7" Type="http://schemas.openxmlformats.org/officeDocument/2006/relationships/hyperlink" Target="https://www.chrc-ccdp.gc.ca/eng/content/left-out-challenges-faced-persons-disabilities-canadas-schools" TargetMode="External"/><Relationship Id="rId12" Type="http://schemas.openxmlformats.org/officeDocument/2006/relationships/hyperlink" Target="https://www.chrc-ccdp.gc.ca/eng/content/annual-report-2016" TargetMode="External"/><Relationship Id="rId17" Type="http://schemas.openxmlformats.org/officeDocument/2006/relationships/hyperlink" Target="https://www.ontario.ca/laws/statute/01o32" TargetMode="External"/><Relationship Id="rId25" Type="http://schemas.openxmlformats.org/officeDocument/2006/relationships/hyperlink" Target="https://dr6j45jk9xcmk.cloudfront.net/documents/4845/guidelines-to-iasr-english.pdf" TargetMode="External"/><Relationship Id="rId2" Type="http://schemas.openxmlformats.org/officeDocument/2006/relationships/hyperlink" Target="http://www.ohchr.org/EN/HRBodies/CRPD/Pages/ConventionRightsPersonsWithDisabilities.aspx" TargetMode="External"/><Relationship Id="rId16" Type="http://schemas.openxmlformats.org/officeDocument/2006/relationships/hyperlink" Target="https://www.access-board.gov/the-board" TargetMode="External"/><Relationship Id="rId20" Type="http://schemas.openxmlformats.org/officeDocument/2006/relationships/hyperlink" Target="https://www.legislation.gov.au/Details/F2011C00213" TargetMode="External"/><Relationship Id="rId29" Type="http://schemas.openxmlformats.org/officeDocument/2006/relationships/hyperlink" Target="http://cjds.uwaterloo.ca/index.php/cjds/article/view/313" TargetMode="External"/><Relationship Id="rId1" Type="http://schemas.openxmlformats.org/officeDocument/2006/relationships/hyperlink" Target="https://www.canada.ca/en/employment-social-development/programs/planned-accessibility-legislation/reports/consultations-what-we-learned.html" TargetMode="External"/><Relationship Id="rId6" Type="http://schemas.openxmlformats.org/officeDocument/2006/relationships/hyperlink" Target="http://www.ccdonline.ca/en/socialpolicy/poverty-citizenship/demographic-profile/income-sources-of-poor-people-with-disabilities" TargetMode="External"/><Relationship Id="rId11" Type="http://schemas.openxmlformats.org/officeDocument/2006/relationships/hyperlink" Target="http://www.bchrt.bc.ca/shareddocs/annual_reports/2007-2008.pdf" TargetMode="External"/><Relationship Id="rId24" Type="http://schemas.openxmlformats.org/officeDocument/2006/relationships/hyperlink" Target="https://www.ontario.ca/page/accessible-workplaces" TargetMode="External"/><Relationship Id="rId5" Type="http://schemas.openxmlformats.org/officeDocument/2006/relationships/hyperlink" Target="http://www.statcan.gc.ca/pub/75-006-x/2017001/article/54854-eng.htm" TargetMode="External"/><Relationship Id="rId15" Type="http://schemas.openxmlformats.org/officeDocument/2006/relationships/hyperlink" Target="https://www.ada.gov/pubs/adastatute08.htm" TargetMode="External"/><Relationship Id="rId23" Type="http://schemas.openxmlformats.org/officeDocument/2006/relationships/hyperlink" Target="https://adata.org/" TargetMode="External"/><Relationship Id="rId28" Type="http://schemas.openxmlformats.org/officeDocument/2006/relationships/hyperlink" Target="https://www.ontario.ca/page/accessibility-compliance-and-enforcement-report-2016" TargetMode="External"/><Relationship Id="rId10" Type="http://schemas.openxmlformats.org/officeDocument/2006/relationships/hyperlink" Target="http://www.bchrt.bc.ca/shareddocs/annual_reports/2006-2007.pdf" TargetMode="External"/><Relationship Id="rId19" Type="http://schemas.openxmlformats.org/officeDocument/2006/relationships/hyperlink" Target="https://www.legislation.gov.au/Details/F2011C00214" TargetMode="External"/><Relationship Id="rId31" Type="http://schemas.openxmlformats.org/officeDocument/2006/relationships/hyperlink" Target="http://laws.justice.gc.ca/eng/acts/H-6/FullText.html" TargetMode="External"/><Relationship Id="rId4" Type="http://schemas.openxmlformats.org/officeDocument/2006/relationships/hyperlink" Target="http://ojs.imodev.org/index.php/RIGO/article/view/49" TargetMode="External"/><Relationship Id="rId9" Type="http://schemas.openxmlformats.org/officeDocument/2006/relationships/hyperlink" Target="https://works.bepress.com/laverne-jacobs/4/" TargetMode="External"/><Relationship Id="rId14" Type="http://schemas.openxmlformats.org/officeDocument/2006/relationships/hyperlink" Target="http://canlii.ca/t/h5tmg" TargetMode="External"/><Relationship Id="rId22" Type="http://schemas.openxmlformats.org/officeDocument/2006/relationships/hyperlink" Target="https://www.ontario.ca/document/legislative-review-accessibility-ontarians-disabilities-act" TargetMode="External"/><Relationship Id="rId27" Type="http://schemas.openxmlformats.org/officeDocument/2006/relationships/hyperlink" Target="https://www.thestar.com/news/queenspark/2013/11/18/ontario_businesses_ignore_provincial_accessibility_law.html" TargetMode="External"/><Relationship Id="rId30" Type="http://schemas.openxmlformats.org/officeDocument/2006/relationships/hyperlink" Target="https://www.ontario.ca/page/accessibility-compliance-and-enforcement-report-20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2018-02-06T00:00:00</PublishDate>
  <Abstract>Final Report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A1BC36B-1BCA-47B7-92C2-F79583625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Pages>
  <Words>13351</Words>
  <Characters>76102</Characters>
  <Application>Microsoft Office Word</Application>
  <DocSecurity>0</DocSecurity>
  <Lines>634</Lines>
  <Paragraphs>178</Paragraphs>
  <ScaleCrop>false</ScaleCrop>
  <HeadingPairs>
    <vt:vector size="2" baseType="variant">
      <vt:variant>
        <vt:lpstr>Title</vt:lpstr>
      </vt:variant>
      <vt:variant>
        <vt:i4>1</vt:i4>
      </vt:variant>
    </vt:vector>
  </HeadingPairs>
  <TitlesOfParts>
    <vt:vector size="1" baseType="lpstr">
      <vt:lpstr>The Interplay Between Human Rights and Accessibility Laws:</vt:lpstr>
    </vt:vector>
  </TitlesOfParts>
  <Company>University of Windsor</Company>
  <LinksUpToDate>false</LinksUpToDate>
  <CharactersWithSpaces>89275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Interplay Between Human Rights and Accessibility Laws:</dc:title>
  <dc:subject>Lessons Learned and Considerations for the Planned Federal Accessibility Legislation</dc:subject>
  <dc:creator>Laverne Jacobs, Associate Professor &amp; Director of Graduate Studies, Faculty of Law, University of Windsor</dc:creator>
  <cp:lastModifiedBy>ljacobs</cp:lastModifiedBy>
  <cp:revision>3</cp:revision>
  <cp:lastPrinted>2018-02-05T01:36:00Z</cp:lastPrinted>
  <dcterms:created xsi:type="dcterms:W3CDTF">2018-02-19T16:09:00Z</dcterms:created>
  <dcterms:modified xsi:type="dcterms:W3CDTF">2018-04-05T02:29:00Z</dcterms:modified>
</cp:coreProperties>
</file>