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5423D" w14:textId="4DB4BDA5" w:rsidR="005C0C71" w:rsidRPr="005C0C71" w:rsidRDefault="005C0C71" w:rsidP="005C0C71">
      <w:pPr>
        <w:pStyle w:val="Title"/>
        <w:jc w:val="center"/>
      </w:pPr>
      <w:r w:rsidRPr="00603CB3">
        <w:rPr>
          <w:rFonts w:eastAsia="Arial"/>
          <w:color w:val="000000"/>
        </w:rPr>
        <w:t>Table</w:t>
      </w:r>
      <w:r>
        <w:rPr>
          <w:rFonts w:eastAsia="Arial"/>
          <w:color w:val="000000"/>
        </w:rPr>
        <w:t xml:space="preserve"> </w:t>
      </w:r>
      <w:proofErr w:type="gramStart"/>
      <w:r>
        <w:rPr>
          <w:rFonts w:eastAsia="Arial"/>
          <w:color w:val="000000"/>
        </w:rPr>
        <w:t xml:space="preserve">4.2 </w:t>
      </w:r>
      <w:r w:rsidRPr="00603CB3">
        <w:rPr>
          <w:rFonts w:eastAsia="Arial"/>
          <w:color w:val="000000"/>
        </w:rPr>
        <w:t xml:space="preserve"> Part</w:t>
      </w:r>
      <w:proofErr w:type="gramEnd"/>
      <w:r w:rsidRPr="00603CB3">
        <w:rPr>
          <w:rFonts w:eastAsia="Arial"/>
          <w:color w:val="000000"/>
        </w:rPr>
        <w:t xml:space="preserve"> 1:</w:t>
      </w:r>
      <w:r w:rsidRPr="000F388F">
        <w:rPr>
          <w:rFonts w:eastAsia="Arial"/>
          <w:color w:val="000000"/>
          <w:sz w:val="30"/>
          <w:szCs w:val="30"/>
        </w:rPr>
        <w:t xml:space="preserve"> </w:t>
      </w:r>
      <w:r w:rsidRPr="000F388F">
        <w:rPr>
          <w:rFonts w:eastAsia="Arial"/>
          <w:color w:val="000000"/>
        </w:rPr>
        <w:t>Accessibility Plans — Requirements Under the</w:t>
      </w:r>
      <w:r w:rsidRPr="005C0C71">
        <w:t xml:space="preserve"> </w:t>
      </w:r>
      <w:r w:rsidRPr="005C0C71">
        <w:rPr>
          <w:i/>
        </w:rPr>
        <w:t xml:space="preserve">Telecommunications Act </w:t>
      </w:r>
    </w:p>
    <w:p w14:paraId="065C64C9" w14:textId="2206563E" w:rsidR="007D364C" w:rsidRDefault="007D364C"/>
    <w:p w14:paraId="682747B0" w14:textId="45F6097F" w:rsidR="005C0C71" w:rsidRDefault="005C0C71"/>
    <w:p w14:paraId="7C52473A" w14:textId="77777777" w:rsidR="005C0C71" w:rsidRDefault="005C0C71" w:rsidP="005C0C71">
      <w:pPr>
        <w:pStyle w:val="Heading1"/>
        <w:rPr>
          <w:rFonts w:eastAsia="Arial"/>
        </w:rPr>
      </w:pPr>
      <w:r>
        <w:rPr>
          <w:rFonts w:eastAsia="Arial"/>
        </w:rPr>
        <w:t>Preface</w:t>
      </w:r>
    </w:p>
    <w:p w14:paraId="7B838842" w14:textId="77777777" w:rsidR="005C0C71" w:rsidRDefault="005C0C71" w:rsidP="005C0C71">
      <w:p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Every regulated entity that belongs to a specialized sector (</w:t>
      </w:r>
      <w:proofErr w:type="gramStart"/>
      <w:r>
        <w:rPr>
          <w:rFonts w:ascii="Arial" w:eastAsia="Arial" w:hAnsi="Arial" w:cs="Arial"/>
          <w:b/>
          <w:bCs/>
          <w:i/>
          <w:color w:val="000000"/>
          <w:sz w:val="21"/>
          <w:szCs w:val="21"/>
        </w:rPr>
        <w:t>i.e.</w:t>
      </w:r>
      <w:proofErr w:type="gramEnd"/>
      <w:r>
        <w:rPr>
          <w:rFonts w:ascii="Arial" w:eastAsia="Arial" w:hAnsi="Arial" w:cs="Arial"/>
          <w:b/>
          <w:bCs/>
          <w:i/>
          <w:color w:val="000000"/>
          <w:sz w:val="21"/>
          <w:szCs w:val="21"/>
        </w:rPr>
        <w:t xml:space="preserve"> broadcasting, telecommunications or transportation) is subject to two (2) sets of obligations when it comes to creating accessibility plans, and related documents and processes: </w:t>
      </w:r>
    </w:p>
    <w:p w14:paraId="000F467D" w14:textId="7E323090" w:rsidR="005C0C71" w:rsidRDefault="005C0C71" w:rsidP="005C0C71">
      <w:pPr>
        <w:pStyle w:val="ListParagraph"/>
        <w:numPr>
          <w:ilvl w:val="0"/>
          <w:numId w:val="1"/>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documents and processes) </w:t>
      </w:r>
      <w:r>
        <w:rPr>
          <w:rFonts w:ascii="Arial" w:eastAsia="Arial" w:hAnsi="Arial" w:cs="Arial"/>
          <w:b/>
          <w:bCs/>
          <w:i/>
          <w:color w:val="000000"/>
          <w:sz w:val="21"/>
          <w:szCs w:val="21"/>
          <w:u w:val="single"/>
        </w:rPr>
        <w:t xml:space="preserve">that stem from the </w:t>
      </w:r>
      <w:bookmarkStart w:id="0" w:name="_Hlk64267900"/>
      <w:r w:rsidR="006B6DC6" w:rsidRPr="006B6DC6">
        <w:rPr>
          <w:rFonts w:ascii="Arial" w:eastAsia="Arial" w:hAnsi="Arial" w:cs="Arial"/>
          <w:b/>
          <w:bCs/>
          <w:i/>
          <w:color w:val="000000"/>
          <w:sz w:val="21"/>
          <w:szCs w:val="21"/>
          <w:u w:val="single"/>
        </w:rPr>
        <w:t xml:space="preserve">principal legislation governing their </w:t>
      </w:r>
      <w:proofErr w:type="gramStart"/>
      <w:r w:rsidR="006B6DC6" w:rsidRPr="006B6DC6">
        <w:rPr>
          <w:rFonts w:ascii="Arial" w:eastAsia="Arial" w:hAnsi="Arial" w:cs="Arial"/>
          <w:b/>
          <w:bCs/>
          <w:i/>
          <w:color w:val="000000"/>
          <w:sz w:val="21"/>
          <w:szCs w:val="21"/>
          <w:u w:val="single"/>
        </w:rPr>
        <w:t>sector</w:t>
      </w:r>
      <w:r w:rsidR="006B6DC6">
        <w:rPr>
          <w:rFonts w:ascii="Arial" w:eastAsia="Arial" w:hAnsi="Arial" w:cs="Arial"/>
          <w:b/>
          <w:bCs/>
          <w:i/>
          <w:color w:val="000000"/>
          <w:sz w:val="21"/>
          <w:szCs w:val="21"/>
          <w:u w:val="single"/>
        </w:rPr>
        <w:t xml:space="preserve"> </w:t>
      </w:r>
      <w:bookmarkEnd w:id="0"/>
      <w:r>
        <w:rPr>
          <w:rFonts w:ascii="Arial" w:eastAsia="Arial" w:hAnsi="Arial" w:cs="Arial"/>
          <w:b/>
          <w:bCs/>
          <w:i/>
          <w:color w:val="000000"/>
          <w:sz w:val="21"/>
          <w:szCs w:val="21"/>
        </w:rPr>
        <w:t xml:space="preserve"> (</w:t>
      </w:r>
      <w:proofErr w:type="gramEnd"/>
      <w:r>
        <w:rPr>
          <w:rFonts w:ascii="Arial" w:eastAsia="Arial" w:hAnsi="Arial" w:cs="Arial"/>
          <w:b/>
          <w:bCs/>
          <w:i/>
          <w:color w:val="000000"/>
          <w:sz w:val="21"/>
          <w:szCs w:val="21"/>
        </w:rPr>
        <w:t xml:space="preserve">namely, the Broadcasting Act, the Telecommunications Act or the </w:t>
      </w:r>
      <w:r>
        <w:rPr>
          <w:rFonts w:ascii="Arial" w:eastAsia="Arial" w:hAnsi="Arial" w:cs="Arial"/>
          <w:b/>
          <w:bCs/>
          <w:i/>
          <w:color w:val="000000"/>
          <w:sz w:val="21"/>
          <w:szCs w:val="21"/>
          <w:lang w:val="en-CA"/>
        </w:rPr>
        <w:t xml:space="preserve">Canada Transportation Act); </w:t>
      </w:r>
    </w:p>
    <w:p w14:paraId="650FDC49" w14:textId="77777777" w:rsidR="005C0C71" w:rsidRDefault="005C0C71" w:rsidP="005C0C71">
      <w:pPr>
        <w:pStyle w:val="ListParagraph"/>
        <w:numPr>
          <w:ilvl w:val="0"/>
          <w:numId w:val="1"/>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duties and processes) </w:t>
      </w:r>
      <w:r>
        <w:rPr>
          <w:rFonts w:ascii="Arial" w:eastAsia="Arial" w:hAnsi="Arial" w:cs="Arial"/>
          <w:b/>
          <w:bCs/>
          <w:i/>
          <w:color w:val="000000"/>
          <w:sz w:val="21"/>
          <w:szCs w:val="21"/>
          <w:u w:val="single"/>
        </w:rPr>
        <w:t>that arise independently under the ACA.</w:t>
      </w:r>
    </w:p>
    <w:p w14:paraId="2C82C32D" w14:textId="77777777" w:rsidR="005C0C71" w:rsidRDefault="005C0C71" w:rsidP="005C0C71">
      <w:pPr>
        <w:rPr>
          <w:rFonts w:ascii="Arial" w:eastAsiaTheme="minorHAnsi" w:hAnsi="Arial" w:cs="Arial"/>
          <w:b/>
          <w:bCs/>
          <w:sz w:val="21"/>
          <w:szCs w:val="21"/>
        </w:rPr>
      </w:pPr>
    </w:p>
    <w:p w14:paraId="2F86509E" w14:textId="0B2F3F3E" w:rsidR="005C0C71" w:rsidRDefault="005C0C71" w:rsidP="005C0C71">
      <w:pPr>
        <w:jc w:val="both"/>
        <w:rPr>
          <w:rFonts w:ascii="Arial" w:hAnsi="Arial" w:cs="Arial"/>
          <w:b/>
          <w:bCs/>
          <w:i/>
          <w:iCs/>
          <w:sz w:val="21"/>
          <w:szCs w:val="21"/>
        </w:rPr>
      </w:pPr>
      <w:r>
        <w:rPr>
          <w:rFonts w:ascii="Arial" w:hAnsi="Arial" w:cs="Arial"/>
          <w:b/>
          <w:bCs/>
          <w:i/>
          <w:iCs/>
          <w:sz w:val="21"/>
          <w:szCs w:val="21"/>
        </w:rPr>
        <w:t xml:space="preserve">The following table sets out the </w:t>
      </w:r>
      <w:r w:rsidR="00EF560E">
        <w:rPr>
          <w:rFonts w:ascii="Arial" w:hAnsi="Arial" w:cs="Arial"/>
          <w:b/>
          <w:bCs/>
          <w:i/>
          <w:iCs/>
          <w:sz w:val="21"/>
          <w:szCs w:val="21"/>
        </w:rPr>
        <w:t xml:space="preserve">first set of </w:t>
      </w:r>
      <w:r>
        <w:rPr>
          <w:rFonts w:ascii="Arial" w:hAnsi="Arial" w:cs="Arial"/>
          <w:b/>
          <w:bCs/>
          <w:i/>
          <w:iCs/>
          <w:sz w:val="21"/>
          <w:szCs w:val="21"/>
        </w:rPr>
        <w:t>obligations with which a regulated entity must comply. The</w:t>
      </w:r>
      <w:r w:rsidR="00EF560E">
        <w:rPr>
          <w:rFonts w:ascii="Arial" w:hAnsi="Arial" w:cs="Arial"/>
          <w:b/>
          <w:bCs/>
          <w:i/>
          <w:iCs/>
          <w:sz w:val="21"/>
          <w:szCs w:val="21"/>
        </w:rPr>
        <w:t>r</w:t>
      </w:r>
      <w:r>
        <w:rPr>
          <w:rFonts w:ascii="Arial" w:hAnsi="Arial" w:cs="Arial"/>
          <w:b/>
          <w:bCs/>
          <w:i/>
          <w:iCs/>
          <w:sz w:val="21"/>
          <w:szCs w:val="21"/>
        </w:rPr>
        <w:t>e are additional obligations that stem directly from the Accessible Canada Act and its regulations, and which supplement the accessibility requirements imposed under</w:t>
      </w:r>
      <w:r>
        <w:rPr>
          <w:rFonts w:ascii="Arial" w:eastAsia="Arial" w:hAnsi="Arial" w:cs="Arial"/>
          <w:b/>
          <w:bCs/>
          <w:i/>
          <w:color w:val="000000"/>
          <w:sz w:val="21"/>
          <w:szCs w:val="21"/>
        </w:rPr>
        <w:t xml:space="preserve"> the Broadcasting Act, the Telecommunications Act or the Canada Transportation Act. The first column identifies the obligation placed on the regulated entity. The second column provides the related section number. T</w:t>
      </w:r>
      <w:r w:rsidR="00AC7CEE">
        <w:rPr>
          <w:rFonts w:ascii="Arial" w:eastAsia="Arial" w:hAnsi="Arial" w:cs="Arial"/>
          <w:b/>
          <w:bCs/>
          <w:i/>
          <w:color w:val="000000"/>
          <w:sz w:val="21"/>
          <w:szCs w:val="21"/>
        </w:rPr>
        <w:t>he t</w:t>
      </w:r>
      <w:r>
        <w:rPr>
          <w:rFonts w:ascii="Arial" w:eastAsia="Arial" w:hAnsi="Arial" w:cs="Arial"/>
          <w:b/>
          <w:bCs/>
          <w:i/>
          <w:color w:val="000000"/>
          <w:sz w:val="21"/>
          <w:szCs w:val="21"/>
        </w:rPr>
        <w:t>hird column provides a description of the obligation and our general comments. The fourth column provides the sections of the ACA that have parallel requirements for regulated entities. With respect to the fourth column, the CRTC, CTA or the Accessibility Commissioner is the designated oversight body depending on the sector in which the regulated entity works (broadcasting and telecommunications; transportation or otherwise).</w:t>
      </w:r>
    </w:p>
    <w:p w14:paraId="0AD72FD2" w14:textId="0550A543" w:rsidR="005C0C71" w:rsidRDefault="005C0C71"/>
    <w:p w14:paraId="01E0A83A" w14:textId="282B72D8" w:rsidR="002315F8" w:rsidRDefault="002315F8"/>
    <w:p w14:paraId="25E18E27" w14:textId="59174529" w:rsidR="002315F8" w:rsidRDefault="002315F8"/>
    <w:p w14:paraId="6CC50B4F" w14:textId="5E4FD899" w:rsidR="002315F8" w:rsidRDefault="002315F8"/>
    <w:p w14:paraId="38354C03" w14:textId="6FB1CE2D" w:rsidR="002315F8" w:rsidRDefault="002315F8"/>
    <w:p w14:paraId="133F924E" w14:textId="08DC7ADA" w:rsidR="002315F8" w:rsidRDefault="002315F8"/>
    <w:p w14:paraId="0D61BFBC" w14:textId="7A054E29" w:rsidR="002315F8" w:rsidRDefault="002315F8"/>
    <w:p w14:paraId="389463F2" w14:textId="2FCB07DE" w:rsidR="002315F8" w:rsidRDefault="002315F8">
      <w:pPr>
        <w:spacing w:after="160" w:line="259" w:lineRule="auto"/>
      </w:pPr>
      <w:r>
        <w:br w:type="page"/>
      </w:r>
    </w:p>
    <w:p w14:paraId="1678B874" w14:textId="26C569FE" w:rsidR="002315F8" w:rsidRPr="00975DCD" w:rsidRDefault="002315F8" w:rsidP="002315F8">
      <w:pPr>
        <w:pStyle w:val="Heading1"/>
        <w:jc w:val="center"/>
      </w:pPr>
      <w:r w:rsidRPr="00975DCD">
        <w:rPr>
          <w:rFonts w:eastAsia="Arial"/>
        </w:rPr>
        <w:lastRenderedPageBreak/>
        <w:t>Table 4.</w:t>
      </w:r>
      <w:r w:rsidR="00A8754D">
        <w:rPr>
          <w:rFonts w:eastAsia="Arial"/>
        </w:rPr>
        <w:t xml:space="preserve">2 </w:t>
      </w:r>
      <w:r>
        <w:rPr>
          <w:rFonts w:eastAsia="Arial"/>
        </w:rPr>
        <w:t xml:space="preserve">Part 1:  </w:t>
      </w:r>
      <w:r w:rsidRPr="000F388F">
        <w:rPr>
          <w:rFonts w:eastAsia="Arial"/>
        </w:rPr>
        <w:t xml:space="preserve">Accessibility Plans — Requirements Under the </w:t>
      </w:r>
      <w:r w:rsidR="00FA44FA">
        <w:rPr>
          <w:rFonts w:eastAsia="Arial"/>
          <w:i/>
          <w:iCs/>
        </w:rPr>
        <w:t>Telecommunications</w:t>
      </w:r>
      <w:r w:rsidRPr="00975DCD">
        <w:rPr>
          <w:rFonts w:eastAsia="Arial"/>
          <w:i/>
          <w:iCs/>
        </w:rPr>
        <w:t xml:space="preserve"> Act</w:t>
      </w:r>
    </w:p>
    <w:p w14:paraId="1AF99808" w14:textId="42392597" w:rsidR="002315F8" w:rsidRDefault="002315F8" w:rsidP="002315F8">
      <w:pPr>
        <w:pStyle w:val="Heading1"/>
        <w:jc w:val="center"/>
      </w:pPr>
    </w:p>
    <w:tbl>
      <w:tblPr>
        <w:tblStyle w:val="TableGrid"/>
        <w:tblW w:w="0" w:type="auto"/>
        <w:tblLook w:val="04A0" w:firstRow="1" w:lastRow="0" w:firstColumn="1" w:lastColumn="0" w:noHBand="0" w:noVBand="1"/>
      </w:tblPr>
      <w:tblGrid>
        <w:gridCol w:w="1694"/>
        <w:gridCol w:w="1173"/>
        <w:gridCol w:w="4643"/>
        <w:gridCol w:w="1840"/>
      </w:tblGrid>
      <w:tr w:rsidR="002315F8" w14:paraId="298D9433" w14:textId="77777777" w:rsidTr="00CA6469">
        <w:tc>
          <w:tcPr>
            <w:tcW w:w="1694" w:type="dxa"/>
          </w:tcPr>
          <w:p w14:paraId="16FB10FC" w14:textId="77777777" w:rsidR="002315F8" w:rsidRDefault="002315F8" w:rsidP="00CA6469">
            <w:pPr>
              <w:spacing w:line="276" w:lineRule="auto"/>
              <w:rPr>
                <w:rFonts w:ascii="Arial" w:eastAsia="Arial" w:hAnsi="Arial" w:cs="Arial"/>
                <w:color w:val="000000"/>
              </w:rPr>
            </w:pPr>
            <w:r w:rsidRPr="001B59EA">
              <w:rPr>
                <w:rFonts w:ascii="Arial" w:eastAsia="Arial" w:hAnsi="Arial" w:cs="Arial"/>
                <w:b/>
                <w:i/>
                <w:iCs/>
                <w:color w:val="000000"/>
                <w:sz w:val="21"/>
                <w:szCs w:val="21"/>
              </w:rPr>
              <w:t>Obligation of Regulated Entity</w:t>
            </w:r>
          </w:p>
        </w:tc>
        <w:tc>
          <w:tcPr>
            <w:tcW w:w="1162" w:type="dxa"/>
          </w:tcPr>
          <w:p w14:paraId="38C758EE" w14:textId="77777777" w:rsidR="002315F8" w:rsidRDefault="002315F8" w:rsidP="00CA6469">
            <w:pPr>
              <w:rPr>
                <w:rFonts w:ascii="Arial" w:eastAsia="Arial" w:hAnsi="Arial" w:cs="Arial"/>
                <w:b/>
                <w:i/>
                <w:iCs/>
                <w:color w:val="000000"/>
                <w:sz w:val="21"/>
                <w:szCs w:val="21"/>
              </w:rPr>
            </w:pPr>
          </w:p>
          <w:p w14:paraId="52AB83F1" w14:textId="77777777"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 xml:space="preserve">Relevant </w:t>
            </w:r>
            <w:r>
              <w:rPr>
                <w:rFonts w:ascii="Arial" w:eastAsia="Arial" w:hAnsi="Arial" w:cs="Arial"/>
                <w:b/>
                <w:i/>
                <w:iCs/>
                <w:color w:val="000000"/>
                <w:sz w:val="21"/>
                <w:szCs w:val="21"/>
              </w:rPr>
              <w:t>P</w:t>
            </w:r>
            <w:r w:rsidRPr="001B59EA">
              <w:rPr>
                <w:rFonts w:ascii="Arial" w:eastAsia="Arial" w:hAnsi="Arial" w:cs="Arial"/>
                <w:b/>
                <w:i/>
                <w:iCs/>
                <w:color w:val="000000"/>
                <w:sz w:val="21"/>
                <w:szCs w:val="21"/>
              </w:rPr>
              <w:t>rovision</w:t>
            </w:r>
          </w:p>
        </w:tc>
        <w:tc>
          <w:tcPr>
            <w:tcW w:w="4652" w:type="dxa"/>
          </w:tcPr>
          <w:p w14:paraId="18F19A75" w14:textId="77777777" w:rsidR="002315F8" w:rsidRDefault="002315F8" w:rsidP="00CA6469">
            <w:pPr>
              <w:rPr>
                <w:rFonts w:ascii="Arial" w:eastAsia="Arial" w:hAnsi="Arial" w:cs="Arial"/>
                <w:b/>
                <w:i/>
                <w:iCs/>
                <w:color w:val="000000"/>
                <w:sz w:val="21"/>
                <w:szCs w:val="21"/>
              </w:rPr>
            </w:pPr>
          </w:p>
          <w:p w14:paraId="07BF2F2F" w14:textId="77777777"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General Comments</w:t>
            </w:r>
          </w:p>
        </w:tc>
        <w:tc>
          <w:tcPr>
            <w:tcW w:w="1842" w:type="dxa"/>
          </w:tcPr>
          <w:p w14:paraId="4C81C5C9" w14:textId="1401E319"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 xml:space="preserve">Parallel ACA </w:t>
            </w:r>
            <w:r>
              <w:rPr>
                <w:rFonts w:ascii="Arial" w:eastAsia="Arial" w:hAnsi="Arial" w:cs="Arial"/>
                <w:b/>
                <w:i/>
                <w:iCs/>
                <w:color w:val="000000"/>
                <w:sz w:val="21"/>
                <w:szCs w:val="21"/>
              </w:rPr>
              <w:t>P</w:t>
            </w:r>
            <w:r w:rsidRPr="001B59EA">
              <w:rPr>
                <w:rFonts w:ascii="Arial" w:eastAsia="Arial" w:hAnsi="Arial" w:cs="Arial"/>
                <w:b/>
                <w:i/>
                <w:iCs/>
                <w:color w:val="000000"/>
                <w:sz w:val="21"/>
                <w:szCs w:val="21"/>
              </w:rPr>
              <w:t xml:space="preserve">rovisions for </w:t>
            </w:r>
            <w:r>
              <w:rPr>
                <w:rFonts w:ascii="Arial" w:eastAsia="Arial" w:hAnsi="Arial" w:cs="Arial"/>
                <w:b/>
                <w:i/>
                <w:iCs/>
                <w:color w:val="000000"/>
                <w:sz w:val="21"/>
                <w:szCs w:val="21"/>
              </w:rPr>
              <w:t>O</w:t>
            </w:r>
            <w:r w:rsidRPr="001B59EA">
              <w:rPr>
                <w:rFonts w:ascii="Arial" w:eastAsia="Arial" w:hAnsi="Arial" w:cs="Arial"/>
                <w:b/>
                <w:i/>
                <w:iCs/>
                <w:color w:val="000000"/>
                <w:sz w:val="21"/>
                <w:szCs w:val="21"/>
              </w:rPr>
              <w:t xml:space="preserve">ther Regulated </w:t>
            </w:r>
            <w:r>
              <w:rPr>
                <w:rFonts w:ascii="Arial" w:eastAsia="Arial" w:hAnsi="Arial" w:cs="Arial"/>
                <w:b/>
                <w:i/>
                <w:iCs/>
                <w:color w:val="000000"/>
                <w:sz w:val="21"/>
                <w:szCs w:val="21"/>
              </w:rPr>
              <w:t>E</w:t>
            </w:r>
            <w:r w:rsidRPr="001B59EA">
              <w:rPr>
                <w:rFonts w:ascii="Arial" w:eastAsia="Arial" w:hAnsi="Arial" w:cs="Arial"/>
                <w:b/>
                <w:i/>
                <w:iCs/>
                <w:color w:val="000000"/>
                <w:sz w:val="21"/>
                <w:szCs w:val="21"/>
              </w:rPr>
              <w:t>ntities</w:t>
            </w:r>
          </w:p>
        </w:tc>
      </w:tr>
      <w:tr w:rsidR="002315F8" w14:paraId="5D4A36D7" w14:textId="77777777" w:rsidTr="00CA6469">
        <w:trPr>
          <w:trHeight w:val="4530"/>
        </w:trPr>
        <w:tc>
          <w:tcPr>
            <w:tcW w:w="1694" w:type="dxa"/>
          </w:tcPr>
          <w:p w14:paraId="377B3CBF" w14:textId="77777777" w:rsidR="002315F8" w:rsidRDefault="002315F8" w:rsidP="00CA6469">
            <w:pPr>
              <w:jc w:val="both"/>
              <w:rPr>
                <w:rFonts w:ascii="Arial" w:eastAsia="Arial" w:hAnsi="Arial" w:cs="Arial"/>
                <w:color w:val="000000"/>
              </w:rPr>
            </w:pPr>
            <w:r w:rsidRPr="001B59EA">
              <w:rPr>
                <w:rFonts w:ascii="Arial" w:eastAsia="Arial" w:hAnsi="Arial" w:cs="Arial"/>
                <w:b/>
                <w:i/>
                <w:iCs/>
                <w:color w:val="000000"/>
                <w:sz w:val="21"/>
                <w:szCs w:val="21"/>
              </w:rPr>
              <w:t>Initial accessibility plans</w:t>
            </w:r>
          </w:p>
        </w:tc>
        <w:tc>
          <w:tcPr>
            <w:tcW w:w="1162" w:type="dxa"/>
          </w:tcPr>
          <w:p w14:paraId="0DD64B86" w14:textId="64307E54" w:rsidR="002315F8" w:rsidRDefault="002315F8"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51</w:t>
            </w:r>
          </w:p>
        </w:tc>
        <w:tc>
          <w:tcPr>
            <w:tcW w:w="4652" w:type="dxa"/>
          </w:tcPr>
          <w:p w14:paraId="711C08E0" w14:textId="565B71DE" w:rsidR="002315F8" w:rsidRDefault="002315F8" w:rsidP="00CF5CB3">
            <w:pPr>
              <w:jc w:val="both"/>
              <w:rPr>
                <w:rFonts w:ascii="Arial" w:eastAsia="Arial" w:hAnsi="Arial" w:cs="Arial"/>
                <w:color w:val="000000"/>
              </w:rPr>
            </w:pPr>
            <w:r w:rsidRPr="001B59EA">
              <w:rPr>
                <w:rFonts w:ascii="Arial" w:eastAsia="Arial" w:hAnsi="Arial" w:cs="Arial"/>
                <w:b/>
                <w:i/>
                <w:iCs/>
                <w:color w:val="000000"/>
                <w:sz w:val="21"/>
                <w:szCs w:val="21"/>
              </w:rPr>
              <w:t xml:space="preserve">This is the first set of accessibility plans that every </w:t>
            </w:r>
            <w:r w:rsidR="006B6DC6">
              <w:rPr>
                <w:rFonts w:ascii="Arial" w:eastAsia="Arial" w:hAnsi="Arial" w:cs="Arial"/>
                <w:b/>
                <w:i/>
                <w:iCs/>
                <w:color w:val="000000"/>
                <w:sz w:val="21"/>
                <w:szCs w:val="21"/>
              </w:rPr>
              <w:t xml:space="preserve">regulated entity </w:t>
            </w:r>
            <w:r w:rsidRPr="001B59EA">
              <w:rPr>
                <w:rFonts w:ascii="Arial" w:eastAsia="Arial" w:hAnsi="Arial" w:cs="Arial"/>
                <w:b/>
                <w:i/>
                <w:iCs/>
                <w:color w:val="000000"/>
                <w:sz w:val="21"/>
                <w:szCs w:val="21"/>
              </w:rPr>
              <w:t>will have to complete</w:t>
            </w:r>
            <w:r w:rsidR="00BA3F93">
              <w:rPr>
                <w:rFonts w:ascii="Arial" w:eastAsia="Arial" w:hAnsi="Arial" w:cs="Arial"/>
                <w:b/>
                <w:i/>
                <w:iCs/>
                <w:color w:val="000000"/>
                <w:sz w:val="21"/>
                <w:szCs w:val="21"/>
              </w:rPr>
              <w:t xml:space="preserve"> for the specialized administrative tribunal that oversees their sector. </w:t>
            </w:r>
            <w:r w:rsidRPr="001B59EA">
              <w:rPr>
                <w:rFonts w:ascii="Arial" w:eastAsia="Arial" w:hAnsi="Arial" w:cs="Arial"/>
                <w:b/>
                <w:i/>
                <w:iCs/>
                <w:color w:val="000000"/>
                <w:sz w:val="21"/>
                <w:szCs w:val="21"/>
              </w:rPr>
              <w:t>Each organization must publish their plan to remove all barriers and ensure the future is barrier</w:t>
            </w:r>
            <w:r>
              <w:rPr>
                <w:rFonts w:ascii="Arial" w:eastAsia="Arial" w:hAnsi="Arial" w:cs="Arial"/>
                <w:b/>
                <w:i/>
                <w:iCs/>
                <w:color w:val="000000"/>
                <w:sz w:val="21"/>
                <w:szCs w:val="21"/>
              </w:rPr>
              <w:t>-</w:t>
            </w:r>
            <w:r w:rsidRPr="001B59EA">
              <w:rPr>
                <w:rFonts w:ascii="Arial" w:eastAsia="Arial" w:hAnsi="Arial" w:cs="Arial"/>
                <w:b/>
                <w:i/>
                <w:iCs/>
                <w:color w:val="000000"/>
                <w:sz w:val="21"/>
                <w:szCs w:val="21"/>
              </w:rPr>
              <w:t>free. Deadlines for this will be set out by the forthcoming regulations. These organizations must also consult with people with disabilities. And these documents must be made available to the public upon request. These plans must also be updated according to the regulations.</w:t>
            </w:r>
            <w:r w:rsidR="00CF5CB3">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The regulations will have a significant effect on how these plans look, how they are updated, presented and follow</w:t>
            </w:r>
            <w:r>
              <w:rPr>
                <w:rFonts w:ascii="Arial" w:eastAsia="Arial" w:hAnsi="Arial" w:cs="Arial"/>
                <w:b/>
                <w:i/>
                <w:iCs/>
                <w:color w:val="000000"/>
                <w:sz w:val="21"/>
                <w:szCs w:val="21"/>
              </w:rPr>
              <w:t>ed</w:t>
            </w:r>
            <w:r w:rsidRPr="001B59EA">
              <w:rPr>
                <w:rFonts w:ascii="Arial" w:eastAsia="Arial" w:hAnsi="Arial" w:cs="Arial"/>
                <w:b/>
                <w:i/>
                <w:iCs/>
                <w:color w:val="000000"/>
                <w:sz w:val="21"/>
                <w:szCs w:val="21"/>
              </w:rPr>
              <w:t xml:space="preserve"> through. These will be reported to the</w:t>
            </w:r>
            <w:hyperlink r:id="rId7">
              <w:r w:rsidRPr="001B59EA">
                <w:rPr>
                  <w:rFonts w:ascii="Arial" w:eastAsia="Arial" w:hAnsi="Arial" w:cs="Arial"/>
                  <w:b/>
                  <w:i/>
                  <w:iCs/>
                  <w:color w:val="000000"/>
                  <w:sz w:val="21"/>
                  <w:szCs w:val="21"/>
                </w:rPr>
                <w:t xml:space="preserve"> </w:t>
              </w:r>
            </w:hyperlink>
            <w:hyperlink r:id="rId8">
              <w:r w:rsidRPr="001B59EA">
                <w:rPr>
                  <w:rFonts w:ascii="Arial" w:eastAsia="Arial" w:hAnsi="Arial" w:cs="Arial"/>
                  <w:b/>
                  <w:i/>
                  <w:iCs/>
                  <w:color w:val="000000"/>
                  <w:sz w:val="21"/>
                  <w:szCs w:val="21"/>
                  <w:u w:val="single"/>
                </w:rPr>
                <w:t>CRTC</w:t>
              </w:r>
            </w:hyperlink>
            <w:r w:rsidRPr="001B59EA">
              <w:rPr>
                <w:rFonts w:ascii="Arial" w:eastAsia="Arial" w:hAnsi="Arial" w:cs="Arial"/>
                <w:b/>
                <w:i/>
                <w:iCs/>
                <w:color w:val="000000"/>
                <w:sz w:val="21"/>
                <w:szCs w:val="21"/>
              </w:rPr>
              <w:t xml:space="preserve"> (</w:t>
            </w:r>
            <w:r w:rsidR="00BA3F93">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radio and telecom</w:t>
            </w:r>
            <w:r>
              <w:rPr>
                <w:rFonts w:ascii="Arial" w:eastAsia="Arial" w:hAnsi="Arial" w:cs="Arial"/>
                <w:b/>
                <w:i/>
                <w:iCs/>
                <w:color w:val="000000"/>
                <w:sz w:val="21"/>
                <w:szCs w:val="21"/>
              </w:rPr>
              <w:t>munication</w:t>
            </w:r>
            <w:r w:rsidRPr="001B59EA">
              <w:rPr>
                <w:rFonts w:ascii="Arial" w:eastAsia="Arial" w:hAnsi="Arial" w:cs="Arial"/>
                <w:b/>
                <w:i/>
                <w:iCs/>
                <w:color w:val="000000"/>
                <w:sz w:val="21"/>
                <w:szCs w:val="21"/>
              </w:rPr>
              <w:t>s) or</w:t>
            </w:r>
            <w:hyperlink r:id="rId9">
              <w:r w:rsidRPr="001B59EA">
                <w:rPr>
                  <w:rFonts w:ascii="Arial" w:eastAsia="Arial" w:hAnsi="Arial" w:cs="Arial"/>
                  <w:b/>
                  <w:i/>
                  <w:iCs/>
                  <w:color w:val="000000"/>
                  <w:sz w:val="21"/>
                  <w:szCs w:val="21"/>
                </w:rPr>
                <w:t xml:space="preserve"> </w:t>
              </w:r>
            </w:hyperlink>
            <w:hyperlink r:id="rId10">
              <w:r w:rsidRPr="001B59EA">
                <w:rPr>
                  <w:rFonts w:ascii="Arial" w:eastAsia="Arial" w:hAnsi="Arial" w:cs="Arial"/>
                  <w:b/>
                  <w:i/>
                  <w:iCs/>
                  <w:color w:val="000000"/>
                  <w:sz w:val="21"/>
                  <w:szCs w:val="21"/>
                  <w:u w:val="single"/>
                </w:rPr>
                <w:t>CTA</w:t>
              </w:r>
            </w:hyperlink>
            <w:r w:rsidRPr="001B59EA">
              <w:rPr>
                <w:rFonts w:ascii="Arial" w:eastAsia="Arial" w:hAnsi="Arial" w:cs="Arial"/>
                <w:b/>
                <w:i/>
                <w:iCs/>
                <w:color w:val="000000"/>
                <w:sz w:val="21"/>
                <w:szCs w:val="21"/>
              </w:rPr>
              <w:t xml:space="preserve"> (</w:t>
            </w:r>
            <w:r w:rsidR="00BA3F93">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transportation) as applicable.</w:t>
            </w:r>
          </w:p>
        </w:tc>
        <w:tc>
          <w:tcPr>
            <w:tcW w:w="1842" w:type="dxa"/>
          </w:tcPr>
          <w:p w14:paraId="5B8D783A" w14:textId="5426DB65"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2315F8" w:rsidRPr="001B59EA">
              <w:rPr>
                <w:rFonts w:ascii="Arial" w:eastAsia="Arial" w:hAnsi="Arial" w:cs="Arial"/>
                <w:b/>
                <w:i/>
                <w:iCs/>
                <w:color w:val="000000"/>
                <w:sz w:val="21"/>
                <w:szCs w:val="21"/>
              </w:rPr>
              <w:t>42, 60, 69</w:t>
            </w:r>
          </w:p>
        </w:tc>
      </w:tr>
      <w:tr w:rsidR="002315F8" w14:paraId="4DB63FFE" w14:textId="77777777" w:rsidTr="00CA6469">
        <w:trPr>
          <w:trHeight w:val="838"/>
        </w:trPr>
        <w:tc>
          <w:tcPr>
            <w:tcW w:w="1694" w:type="dxa"/>
          </w:tcPr>
          <w:p w14:paraId="0326B3EB" w14:textId="77777777"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Establishment of feedback process</w:t>
            </w:r>
          </w:p>
        </w:tc>
        <w:tc>
          <w:tcPr>
            <w:tcW w:w="1162" w:type="dxa"/>
          </w:tcPr>
          <w:p w14:paraId="7ED101BA" w14:textId="0D66EBF7"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2315F8" w:rsidRPr="001B59EA">
              <w:rPr>
                <w:rFonts w:ascii="Arial" w:eastAsia="Arial" w:hAnsi="Arial" w:cs="Arial"/>
                <w:b/>
                <w:i/>
                <w:iCs/>
                <w:color w:val="000000"/>
                <w:sz w:val="21"/>
                <w:szCs w:val="21"/>
              </w:rPr>
              <w:t>52</w:t>
            </w:r>
          </w:p>
        </w:tc>
        <w:tc>
          <w:tcPr>
            <w:tcW w:w="4652" w:type="dxa"/>
          </w:tcPr>
          <w:p w14:paraId="333C4817" w14:textId="35B23DE6" w:rsidR="002315F8" w:rsidRDefault="00774956" w:rsidP="00CA6469">
            <w:pPr>
              <w:jc w:val="both"/>
              <w:rPr>
                <w:rFonts w:ascii="Arial" w:eastAsia="Arial" w:hAnsi="Arial" w:cs="Arial"/>
                <w:color w:val="000000"/>
              </w:rPr>
            </w:pPr>
            <w:r>
              <w:rPr>
                <w:rFonts w:ascii="Arial" w:eastAsia="Arial" w:hAnsi="Arial" w:cs="Arial"/>
                <w:b/>
                <w:i/>
                <w:iCs/>
                <w:color w:val="000000"/>
                <w:sz w:val="21"/>
                <w:szCs w:val="21"/>
              </w:rPr>
              <w:t>Regulated entities</w:t>
            </w:r>
            <w:r w:rsidRPr="001B59EA">
              <w:rPr>
                <w:rFonts w:ascii="Arial" w:eastAsia="Arial" w:hAnsi="Arial" w:cs="Arial"/>
                <w:b/>
                <w:i/>
                <w:iCs/>
                <w:color w:val="000000"/>
                <w:sz w:val="21"/>
                <w:szCs w:val="21"/>
              </w:rPr>
              <w:t xml:space="preserve"> will be required to outline how they will manage feedback f</w:t>
            </w:r>
            <w:r>
              <w:rPr>
                <w:rFonts w:ascii="Arial" w:eastAsia="Arial" w:hAnsi="Arial" w:cs="Arial"/>
                <w:b/>
                <w:i/>
                <w:iCs/>
                <w:color w:val="000000"/>
                <w:sz w:val="21"/>
                <w:szCs w:val="21"/>
              </w:rPr>
              <w:t>r</w:t>
            </w:r>
            <w:r w:rsidRPr="001B59EA">
              <w:rPr>
                <w:rFonts w:ascii="Arial" w:eastAsia="Arial" w:hAnsi="Arial" w:cs="Arial"/>
                <w:b/>
                <w:i/>
                <w:iCs/>
                <w:color w:val="000000"/>
                <w:sz w:val="21"/>
                <w:szCs w:val="21"/>
              </w:rPr>
              <w:t>om those who deal with the</w:t>
            </w:r>
            <w:r>
              <w:rPr>
                <w:rFonts w:ascii="Arial" w:eastAsia="Arial" w:hAnsi="Arial" w:cs="Arial"/>
                <w:b/>
                <w:i/>
                <w:iCs/>
                <w:color w:val="000000"/>
                <w:sz w:val="21"/>
                <w:szCs w:val="21"/>
              </w:rPr>
              <w:t>m</w:t>
            </w:r>
            <w:r w:rsidRPr="001B59EA">
              <w:rPr>
                <w:rFonts w:ascii="Arial" w:eastAsia="Arial" w:hAnsi="Arial" w:cs="Arial"/>
                <w:b/>
                <w:i/>
                <w:iCs/>
                <w:color w:val="000000"/>
                <w:sz w:val="21"/>
                <w:szCs w:val="21"/>
              </w:rPr>
              <w:t>.</w:t>
            </w:r>
          </w:p>
        </w:tc>
        <w:tc>
          <w:tcPr>
            <w:tcW w:w="1842" w:type="dxa"/>
          </w:tcPr>
          <w:p w14:paraId="2AA66D27" w14:textId="7FCB75E7"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2315F8" w:rsidRPr="001B59EA">
              <w:rPr>
                <w:rFonts w:ascii="Arial" w:eastAsia="Arial" w:hAnsi="Arial" w:cs="Arial"/>
                <w:b/>
                <w:i/>
                <w:iCs/>
                <w:color w:val="000000"/>
                <w:sz w:val="21"/>
                <w:szCs w:val="21"/>
              </w:rPr>
              <w:t>43, 61, 70</w:t>
            </w:r>
          </w:p>
        </w:tc>
      </w:tr>
      <w:tr w:rsidR="002315F8" w14:paraId="18D8729D" w14:textId="77777777" w:rsidTr="00CA6469">
        <w:trPr>
          <w:trHeight w:val="1275"/>
        </w:trPr>
        <w:tc>
          <w:tcPr>
            <w:tcW w:w="1694" w:type="dxa"/>
          </w:tcPr>
          <w:p w14:paraId="63C1D068" w14:textId="77777777"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Progress reports</w:t>
            </w:r>
          </w:p>
        </w:tc>
        <w:tc>
          <w:tcPr>
            <w:tcW w:w="1162" w:type="dxa"/>
          </w:tcPr>
          <w:p w14:paraId="1D651D85" w14:textId="4077171B"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2315F8" w:rsidRPr="001B59EA">
              <w:rPr>
                <w:rFonts w:ascii="Arial" w:eastAsia="Arial" w:hAnsi="Arial" w:cs="Arial"/>
                <w:b/>
                <w:i/>
                <w:iCs/>
                <w:color w:val="000000"/>
                <w:sz w:val="21"/>
                <w:szCs w:val="21"/>
              </w:rPr>
              <w:t>53</w:t>
            </w:r>
          </w:p>
        </w:tc>
        <w:tc>
          <w:tcPr>
            <w:tcW w:w="4652" w:type="dxa"/>
          </w:tcPr>
          <w:p w14:paraId="4B2A34D5" w14:textId="09DE9367" w:rsidR="002315F8" w:rsidRDefault="00774956" w:rsidP="00CA6469">
            <w:pPr>
              <w:jc w:val="both"/>
              <w:rPr>
                <w:rFonts w:ascii="Arial" w:eastAsia="Arial" w:hAnsi="Arial" w:cs="Arial"/>
                <w:color w:val="000000"/>
              </w:rPr>
            </w:pPr>
            <w:r w:rsidRPr="001B59EA">
              <w:rPr>
                <w:rFonts w:ascii="Arial" w:eastAsia="Arial" w:hAnsi="Arial" w:cs="Arial"/>
                <w:b/>
                <w:i/>
                <w:iCs/>
                <w:color w:val="000000"/>
                <w:sz w:val="21"/>
                <w:szCs w:val="21"/>
              </w:rPr>
              <w:t>Again, as the regulations are forthcoming, it is unclear when these reports will come due. However, they must include the progress of implementing the</w:t>
            </w:r>
            <w:r>
              <w:rPr>
                <w:rFonts w:ascii="Arial" w:eastAsia="Arial" w:hAnsi="Arial" w:cs="Arial"/>
                <w:b/>
                <w:i/>
                <w:iCs/>
                <w:color w:val="000000"/>
                <w:sz w:val="21"/>
                <w:szCs w:val="21"/>
              </w:rPr>
              <w:t xml:space="preserve"> accessibility</w:t>
            </w:r>
            <w:r w:rsidRPr="001B59EA">
              <w:rPr>
                <w:rFonts w:ascii="Arial" w:eastAsia="Arial" w:hAnsi="Arial" w:cs="Arial"/>
                <w:b/>
                <w:i/>
                <w:iCs/>
                <w:color w:val="000000"/>
                <w:sz w:val="21"/>
                <w:szCs w:val="21"/>
              </w:rPr>
              <w:t xml:space="preserve"> plan and include any feedback received.</w:t>
            </w:r>
          </w:p>
        </w:tc>
        <w:tc>
          <w:tcPr>
            <w:tcW w:w="1842" w:type="dxa"/>
          </w:tcPr>
          <w:p w14:paraId="2D39AE17" w14:textId="3B771934"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2315F8" w:rsidRPr="001B59EA">
              <w:rPr>
                <w:rFonts w:ascii="Arial" w:eastAsia="Arial" w:hAnsi="Arial" w:cs="Arial"/>
                <w:b/>
                <w:i/>
                <w:iCs/>
                <w:color w:val="000000"/>
                <w:sz w:val="21"/>
                <w:szCs w:val="21"/>
              </w:rPr>
              <w:t>44, 62, 71</w:t>
            </w:r>
          </w:p>
        </w:tc>
      </w:tr>
      <w:tr w:rsidR="002315F8" w14:paraId="3A4ED8D4" w14:textId="77777777" w:rsidTr="00CA6469">
        <w:tc>
          <w:tcPr>
            <w:tcW w:w="1694" w:type="dxa"/>
          </w:tcPr>
          <w:p w14:paraId="42B1A4BC" w14:textId="221DCDC8"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 xml:space="preserve">Regulations </w:t>
            </w:r>
            <w:r>
              <w:rPr>
                <w:rFonts w:ascii="Arial" w:eastAsia="Arial" w:hAnsi="Arial" w:cs="Arial"/>
                <w:b/>
                <w:i/>
                <w:iCs/>
                <w:color w:val="000000"/>
                <w:sz w:val="21"/>
                <w:szCs w:val="21"/>
              </w:rPr>
              <w:t>—</w:t>
            </w:r>
            <w:r w:rsidRPr="001B59EA">
              <w:rPr>
                <w:rFonts w:ascii="Arial" w:eastAsia="Arial" w:hAnsi="Arial" w:cs="Arial"/>
                <w:b/>
                <w:i/>
                <w:iCs/>
                <w:color w:val="000000"/>
                <w:sz w:val="21"/>
                <w:szCs w:val="21"/>
              </w:rPr>
              <w:t>accessibility plan requirements</w:t>
            </w:r>
          </w:p>
        </w:tc>
        <w:tc>
          <w:tcPr>
            <w:tcW w:w="1162" w:type="dxa"/>
          </w:tcPr>
          <w:p w14:paraId="3409A6E0" w14:textId="33BE3F60"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2315F8" w:rsidRPr="001B59EA">
              <w:rPr>
                <w:rFonts w:ascii="Arial" w:eastAsia="Arial" w:hAnsi="Arial" w:cs="Arial"/>
                <w:b/>
                <w:i/>
                <w:iCs/>
                <w:color w:val="000000"/>
                <w:sz w:val="21"/>
                <w:szCs w:val="21"/>
              </w:rPr>
              <w:t>54</w:t>
            </w:r>
          </w:p>
        </w:tc>
        <w:tc>
          <w:tcPr>
            <w:tcW w:w="4652" w:type="dxa"/>
          </w:tcPr>
          <w:p w14:paraId="7153AC66" w14:textId="77777777" w:rsidR="002315F8" w:rsidRDefault="002315F8" w:rsidP="00CA6469">
            <w:pPr>
              <w:jc w:val="both"/>
              <w:rPr>
                <w:rFonts w:ascii="Arial" w:eastAsia="Arial" w:hAnsi="Arial" w:cs="Arial"/>
                <w:color w:val="000000"/>
              </w:rPr>
            </w:pPr>
            <w:r w:rsidRPr="001B59EA">
              <w:rPr>
                <w:rFonts w:ascii="Arial" w:eastAsia="Arial" w:hAnsi="Arial" w:cs="Arial"/>
                <w:b/>
                <w:i/>
                <w:iCs/>
                <w:color w:val="000000"/>
                <w:sz w:val="21"/>
                <w:szCs w:val="21"/>
              </w:rPr>
              <w:t>This section outlines the suggestions for regulation.</w:t>
            </w:r>
          </w:p>
        </w:tc>
        <w:tc>
          <w:tcPr>
            <w:tcW w:w="1842" w:type="dxa"/>
          </w:tcPr>
          <w:p w14:paraId="3209BAC5" w14:textId="630EA426"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2315F8" w:rsidRPr="001B59EA">
              <w:rPr>
                <w:rFonts w:ascii="Arial" w:eastAsia="Arial" w:hAnsi="Arial" w:cs="Arial"/>
                <w:b/>
                <w:i/>
                <w:iCs/>
                <w:color w:val="000000"/>
                <w:sz w:val="21"/>
                <w:szCs w:val="21"/>
              </w:rPr>
              <w:t>45, 63, 72</w:t>
            </w:r>
          </w:p>
        </w:tc>
      </w:tr>
      <w:tr w:rsidR="002315F8" w14:paraId="79AA82DC" w14:textId="77777777" w:rsidTr="00CA6469">
        <w:tc>
          <w:tcPr>
            <w:tcW w:w="1694" w:type="dxa"/>
          </w:tcPr>
          <w:p w14:paraId="7DE11EDE" w14:textId="2D05B812" w:rsidR="002315F8" w:rsidRDefault="002315F8" w:rsidP="00CA6469">
            <w:pPr>
              <w:rPr>
                <w:rFonts w:ascii="Arial" w:eastAsia="Arial" w:hAnsi="Arial" w:cs="Arial"/>
                <w:color w:val="000000"/>
              </w:rPr>
            </w:pPr>
            <w:r w:rsidRPr="001B59EA">
              <w:rPr>
                <w:rFonts w:ascii="Arial" w:eastAsia="Arial" w:hAnsi="Arial" w:cs="Arial"/>
                <w:b/>
                <w:i/>
                <w:iCs/>
                <w:color w:val="000000"/>
                <w:sz w:val="21"/>
                <w:szCs w:val="21"/>
              </w:rPr>
              <w:t xml:space="preserve">Exemptions </w:t>
            </w:r>
            <w:r>
              <w:rPr>
                <w:rFonts w:ascii="Arial" w:eastAsia="Arial" w:hAnsi="Arial" w:cs="Arial"/>
                <w:b/>
                <w:i/>
                <w:iCs/>
                <w:color w:val="000000"/>
                <w:sz w:val="21"/>
                <w:szCs w:val="21"/>
              </w:rPr>
              <w:t xml:space="preserve">—from </w:t>
            </w:r>
            <w:r w:rsidRPr="001B59EA">
              <w:rPr>
                <w:rFonts w:ascii="Arial" w:eastAsia="Arial" w:hAnsi="Arial" w:cs="Arial"/>
                <w:b/>
                <w:i/>
                <w:iCs/>
                <w:color w:val="000000"/>
                <w:sz w:val="21"/>
                <w:szCs w:val="21"/>
              </w:rPr>
              <w:t>requirements to produce accessibility plans</w:t>
            </w:r>
          </w:p>
        </w:tc>
        <w:tc>
          <w:tcPr>
            <w:tcW w:w="1162" w:type="dxa"/>
          </w:tcPr>
          <w:p w14:paraId="406A3365" w14:textId="2492142D"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 </w:t>
            </w:r>
            <w:r w:rsidR="002315F8" w:rsidRPr="001B59EA">
              <w:rPr>
                <w:rFonts w:ascii="Arial" w:eastAsia="Arial" w:hAnsi="Arial" w:cs="Arial"/>
                <w:b/>
                <w:i/>
                <w:iCs/>
                <w:color w:val="000000"/>
                <w:sz w:val="21"/>
                <w:szCs w:val="21"/>
              </w:rPr>
              <w:t>55</w:t>
            </w:r>
          </w:p>
        </w:tc>
        <w:tc>
          <w:tcPr>
            <w:tcW w:w="4652" w:type="dxa"/>
          </w:tcPr>
          <w:p w14:paraId="45427033" w14:textId="77777777" w:rsidR="002315F8" w:rsidRDefault="002315F8" w:rsidP="00CA6469">
            <w:pPr>
              <w:jc w:val="both"/>
              <w:rPr>
                <w:rFonts w:ascii="Arial" w:eastAsia="Arial" w:hAnsi="Arial" w:cs="Arial"/>
                <w:color w:val="000000"/>
              </w:rPr>
            </w:pPr>
            <w:r>
              <w:rPr>
                <w:rFonts w:ascii="Arial" w:eastAsia="Arial" w:hAnsi="Arial" w:cs="Arial"/>
                <w:b/>
                <w:i/>
                <w:iCs/>
                <w:color w:val="000000"/>
                <w:sz w:val="21"/>
                <w:szCs w:val="21"/>
              </w:rPr>
              <w:t>T</w:t>
            </w:r>
            <w:r w:rsidRPr="001B59EA">
              <w:rPr>
                <w:rFonts w:ascii="Arial" w:eastAsia="Arial" w:hAnsi="Arial" w:cs="Arial"/>
                <w:b/>
                <w:i/>
                <w:iCs/>
                <w:color w:val="000000"/>
                <w:sz w:val="21"/>
                <w:szCs w:val="21"/>
              </w:rPr>
              <w:t>his section allows the</w:t>
            </w:r>
            <w:r>
              <w:rPr>
                <w:rFonts w:ascii="Arial" w:eastAsia="Arial" w:hAnsi="Arial" w:cs="Arial"/>
                <w:b/>
                <w:i/>
                <w:iCs/>
                <w:color w:val="000000"/>
                <w:sz w:val="21"/>
                <w:szCs w:val="21"/>
              </w:rPr>
              <w:t xml:space="preserve"> CRTC to </w:t>
            </w:r>
            <w:r w:rsidRPr="001B59EA">
              <w:rPr>
                <w:rFonts w:ascii="Arial" w:eastAsia="Arial" w:hAnsi="Arial" w:cs="Arial"/>
                <w:b/>
                <w:i/>
                <w:iCs/>
                <w:color w:val="000000"/>
                <w:sz w:val="21"/>
                <w:szCs w:val="21"/>
              </w:rPr>
              <w:t xml:space="preserve">exempt organizations from the creation and implementation of accessibility plans. </w:t>
            </w:r>
            <w:r>
              <w:rPr>
                <w:rFonts w:ascii="Arial" w:eastAsia="Arial" w:hAnsi="Arial" w:cs="Arial"/>
                <w:b/>
                <w:i/>
                <w:iCs/>
                <w:color w:val="000000"/>
                <w:sz w:val="21"/>
                <w:szCs w:val="21"/>
              </w:rPr>
              <w:t>A controversial section for many disability advocates, i</w:t>
            </w:r>
            <w:r w:rsidRPr="001B59EA">
              <w:rPr>
                <w:rFonts w:ascii="Arial" w:eastAsia="Arial" w:hAnsi="Arial" w:cs="Arial"/>
                <w:b/>
                <w:i/>
                <w:iCs/>
                <w:color w:val="000000"/>
                <w:sz w:val="21"/>
                <w:szCs w:val="21"/>
              </w:rPr>
              <w:t xml:space="preserve">t </w:t>
            </w:r>
            <w:r>
              <w:rPr>
                <w:rFonts w:ascii="Arial" w:eastAsia="Arial" w:hAnsi="Arial" w:cs="Arial"/>
                <w:b/>
                <w:i/>
                <w:iCs/>
                <w:color w:val="000000"/>
                <w:sz w:val="21"/>
                <w:szCs w:val="21"/>
              </w:rPr>
              <w:t>remains</w:t>
            </w:r>
            <w:r w:rsidRPr="001B59EA">
              <w:rPr>
                <w:rFonts w:ascii="Arial" w:eastAsia="Arial" w:hAnsi="Arial" w:cs="Arial"/>
                <w:b/>
                <w:i/>
                <w:iCs/>
                <w:color w:val="000000"/>
                <w:sz w:val="21"/>
                <w:szCs w:val="21"/>
              </w:rPr>
              <w:t xml:space="preserve"> to be seen </w:t>
            </w:r>
            <w:r>
              <w:rPr>
                <w:rFonts w:ascii="Arial" w:eastAsia="Arial" w:hAnsi="Arial" w:cs="Arial"/>
                <w:b/>
                <w:i/>
                <w:iCs/>
                <w:color w:val="000000"/>
                <w:sz w:val="21"/>
                <w:szCs w:val="21"/>
              </w:rPr>
              <w:t>if, how and when</w:t>
            </w:r>
            <w:r w:rsidRPr="001B59EA">
              <w:rPr>
                <w:rFonts w:ascii="Arial" w:eastAsia="Arial" w:hAnsi="Arial" w:cs="Arial"/>
                <w:b/>
                <w:i/>
                <w:iCs/>
                <w:color w:val="000000"/>
                <w:sz w:val="21"/>
                <w:szCs w:val="21"/>
              </w:rPr>
              <w:t xml:space="preserve"> this </w:t>
            </w:r>
            <w:r>
              <w:rPr>
                <w:rFonts w:ascii="Arial" w:eastAsia="Arial" w:hAnsi="Arial" w:cs="Arial"/>
                <w:b/>
                <w:i/>
                <w:iCs/>
                <w:color w:val="000000"/>
                <w:sz w:val="21"/>
                <w:szCs w:val="21"/>
              </w:rPr>
              <w:t xml:space="preserve">power </w:t>
            </w:r>
            <w:r w:rsidRPr="001B59EA">
              <w:rPr>
                <w:rFonts w:ascii="Arial" w:eastAsia="Arial" w:hAnsi="Arial" w:cs="Arial"/>
                <w:b/>
                <w:i/>
                <w:iCs/>
                <w:color w:val="000000"/>
                <w:sz w:val="21"/>
                <w:szCs w:val="21"/>
              </w:rPr>
              <w:t>will be exercised</w:t>
            </w:r>
            <w:r>
              <w:rPr>
                <w:rFonts w:ascii="Arial" w:eastAsia="Arial" w:hAnsi="Arial" w:cs="Arial"/>
                <w:b/>
                <w:i/>
                <w:iCs/>
                <w:color w:val="000000"/>
                <w:sz w:val="21"/>
                <w:szCs w:val="21"/>
              </w:rPr>
              <w:t>.</w:t>
            </w:r>
            <w:r w:rsidRPr="001B59EA">
              <w:rPr>
                <w:rFonts w:ascii="Arial" w:eastAsia="Arial" w:hAnsi="Arial" w:cs="Arial"/>
                <w:b/>
                <w:i/>
                <w:iCs/>
                <w:color w:val="000000"/>
                <w:sz w:val="21"/>
                <w:szCs w:val="21"/>
              </w:rPr>
              <w:t xml:space="preserve"> </w:t>
            </w:r>
          </w:p>
        </w:tc>
        <w:tc>
          <w:tcPr>
            <w:tcW w:w="1842" w:type="dxa"/>
          </w:tcPr>
          <w:p w14:paraId="20D72B72" w14:textId="43BC31DA" w:rsidR="002315F8" w:rsidRDefault="00034AE9" w:rsidP="00CA6469">
            <w:pPr>
              <w:jc w:val="center"/>
              <w:rPr>
                <w:rFonts w:ascii="Arial" w:eastAsia="Arial" w:hAnsi="Arial" w:cs="Arial"/>
                <w:color w:val="000000"/>
              </w:rPr>
            </w:pPr>
            <w:r>
              <w:rPr>
                <w:rFonts w:ascii="Arial" w:eastAsia="Arial" w:hAnsi="Arial" w:cs="Arial"/>
                <w:b/>
                <w:i/>
                <w:iCs/>
                <w:color w:val="000000"/>
                <w:sz w:val="21"/>
                <w:szCs w:val="21"/>
              </w:rPr>
              <w:t xml:space="preserve">Sections </w:t>
            </w:r>
            <w:r w:rsidR="002315F8" w:rsidRPr="001B59EA">
              <w:rPr>
                <w:rFonts w:ascii="Arial" w:eastAsia="Arial" w:hAnsi="Arial" w:cs="Arial"/>
                <w:b/>
                <w:i/>
                <w:iCs/>
                <w:color w:val="000000"/>
                <w:sz w:val="21"/>
                <w:szCs w:val="21"/>
              </w:rPr>
              <w:t>46, 6</w:t>
            </w:r>
            <w:r w:rsidR="002315F8">
              <w:rPr>
                <w:rFonts w:ascii="Arial" w:eastAsia="Arial" w:hAnsi="Arial" w:cs="Arial"/>
                <w:b/>
                <w:i/>
                <w:iCs/>
                <w:color w:val="000000"/>
                <w:sz w:val="21"/>
                <w:szCs w:val="21"/>
              </w:rPr>
              <w:t>4</w:t>
            </w:r>
          </w:p>
        </w:tc>
      </w:tr>
    </w:tbl>
    <w:p w14:paraId="2563DB5D" w14:textId="77777777" w:rsidR="002315F8" w:rsidRPr="002315F8" w:rsidRDefault="002315F8" w:rsidP="002315F8">
      <w:pPr>
        <w:rPr>
          <w:lang w:val="en-CA" w:eastAsia="en-US"/>
        </w:rPr>
      </w:pPr>
    </w:p>
    <w:sectPr w:rsidR="002315F8" w:rsidRPr="002315F8">
      <w:headerReference w:type="even" r:id="rId11"/>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9B01B3" w14:textId="77777777" w:rsidR="00B92359" w:rsidRDefault="00B92359" w:rsidP="0055404C">
      <w:r>
        <w:separator/>
      </w:r>
    </w:p>
  </w:endnote>
  <w:endnote w:type="continuationSeparator" w:id="0">
    <w:p w14:paraId="6AE40E96" w14:textId="77777777" w:rsidR="00B92359" w:rsidRDefault="00B92359" w:rsidP="00554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3D7EB5" w14:textId="77777777" w:rsidR="00B92359" w:rsidRDefault="00B92359" w:rsidP="0055404C">
      <w:r>
        <w:separator/>
      </w:r>
    </w:p>
  </w:footnote>
  <w:footnote w:type="continuationSeparator" w:id="0">
    <w:p w14:paraId="08430C81" w14:textId="77777777" w:rsidR="00B92359" w:rsidRDefault="00B92359" w:rsidP="00554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B63B1" w14:textId="77777777" w:rsidR="0055404C" w:rsidRDefault="0055404C"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1D87B35" w14:textId="77777777" w:rsidR="0055404C" w:rsidRDefault="0055404C" w:rsidP="0055404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FB171" w14:textId="50B585D5" w:rsidR="0055404C" w:rsidRDefault="0055404C" w:rsidP="00787329">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81CE2">
      <w:rPr>
        <w:rStyle w:val="PageNumber"/>
        <w:noProof/>
      </w:rPr>
      <w:t>2</w:t>
    </w:r>
    <w:r>
      <w:rPr>
        <w:rStyle w:val="PageNumber"/>
      </w:rPr>
      <w:fldChar w:fldCharType="end"/>
    </w:r>
  </w:p>
  <w:p w14:paraId="0015746A" w14:textId="77777777" w:rsidR="0055404C" w:rsidRDefault="0055404C" w:rsidP="0055404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6D4FC3"/>
    <w:multiLevelType w:val="hybridMultilevel"/>
    <w:tmpl w:val="121876D2"/>
    <w:lvl w:ilvl="0" w:tplc="AC9EABFA">
      <w:start w:val="1"/>
      <w:numFmt w:val="lowerRoman"/>
      <w:lvlText w:val="%1)"/>
      <w:lvlJc w:val="left"/>
      <w:pPr>
        <w:ind w:left="1440" w:hanging="72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571D76B-CDA5-4B89-AAD5-FD5FC8C6EFD5}"/>
    <w:docVar w:name="dgnword-eventsink" w:val="2162763684544"/>
  </w:docVars>
  <w:rsids>
    <w:rsidRoot w:val="005C0C71"/>
    <w:rsid w:val="00034AE9"/>
    <w:rsid w:val="002315F8"/>
    <w:rsid w:val="002C360C"/>
    <w:rsid w:val="0055404C"/>
    <w:rsid w:val="005C0C71"/>
    <w:rsid w:val="00610478"/>
    <w:rsid w:val="00642D6B"/>
    <w:rsid w:val="006B6DC6"/>
    <w:rsid w:val="00774956"/>
    <w:rsid w:val="007D364C"/>
    <w:rsid w:val="00936336"/>
    <w:rsid w:val="009811A2"/>
    <w:rsid w:val="00A31A2C"/>
    <w:rsid w:val="00A81CE2"/>
    <w:rsid w:val="00A8754D"/>
    <w:rsid w:val="00AC7CEE"/>
    <w:rsid w:val="00B92359"/>
    <w:rsid w:val="00B94E09"/>
    <w:rsid w:val="00BA3F93"/>
    <w:rsid w:val="00BC5EDC"/>
    <w:rsid w:val="00BD4BA3"/>
    <w:rsid w:val="00C100FD"/>
    <w:rsid w:val="00CF5CB3"/>
    <w:rsid w:val="00D557C5"/>
    <w:rsid w:val="00EF560E"/>
    <w:rsid w:val="00FA44F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7FA73"/>
  <w15:chartTrackingRefBased/>
  <w15:docId w15:val="{FFD0B999-F4AC-4B9C-B431-33788424E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C71"/>
    <w:pPr>
      <w:spacing w:after="0" w:line="240" w:lineRule="auto"/>
    </w:pPr>
    <w:rPr>
      <w:rFonts w:ascii="Cambria" w:eastAsia="Cambria" w:hAnsi="Cambria" w:cs="Cambria"/>
      <w:sz w:val="24"/>
      <w:szCs w:val="24"/>
      <w:lang w:val="en" w:eastAsia="en-CA"/>
    </w:rPr>
  </w:style>
  <w:style w:type="paragraph" w:styleId="Heading1">
    <w:name w:val="heading 1"/>
    <w:basedOn w:val="Normal"/>
    <w:next w:val="Normal"/>
    <w:link w:val="Heading1Char"/>
    <w:uiPriority w:val="9"/>
    <w:qFormat/>
    <w:rsid w:val="005C0C71"/>
    <w:pPr>
      <w:keepNext/>
      <w:keepLines/>
      <w:spacing w:before="240" w:line="256" w:lineRule="auto"/>
      <w:outlineLvl w:val="0"/>
    </w:pPr>
    <w:rPr>
      <w:rFonts w:asciiTheme="majorHAnsi" w:eastAsiaTheme="majorEastAsia" w:hAnsiTheme="majorHAnsi" w:cstheme="majorBidi"/>
      <w:color w:val="2F5496" w:themeColor="accent1" w:themeShade="BF"/>
      <w:sz w:val="32"/>
      <w:szCs w:val="32"/>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0C7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C0C71"/>
    <w:pPr>
      <w:ind w:left="720"/>
      <w:contextualSpacing/>
    </w:pPr>
  </w:style>
  <w:style w:type="paragraph" w:styleId="BalloonText">
    <w:name w:val="Balloon Text"/>
    <w:basedOn w:val="Normal"/>
    <w:link w:val="BalloonTextChar"/>
    <w:uiPriority w:val="99"/>
    <w:semiHidden/>
    <w:unhideWhenUsed/>
    <w:rsid w:val="005C0C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0C71"/>
    <w:rPr>
      <w:rFonts w:ascii="Segoe UI" w:eastAsia="Cambria" w:hAnsi="Segoe UI" w:cs="Segoe UI"/>
      <w:sz w:val="18"/>
      <w:szCs w:val="18"/>
      <w:lang w:val="en" w:eastAsia="en-CA"/>
    </w:rPr>
  </w:style>
  <w:style w:type="paragraph" w:styleId="CommentText">
    <w:name w:val="annotation text"/>
    <w:basedOn w:val="Normal"/>
    <w:link w:val="CommentTextChar"/>
    <w:uiPriority w:val="99"/>
    <w:unhideWhenUsed/>
    <w:rsid w:val="005C0C71"/>
    <w:rPr>
      <w:sz w:val="20"/>
      <w:szCs w:val="20"/>
    </w:rPr>
  </w:style>
  <w:style w:type="character" w:customStyle="1" w:styleId="CommentTextChar">
    <w:name w:val="Comment Text Char"/>
    <w:basedOn w:val="DefaultParagraphFont"/>
    <w:link w:val="CommentText"/>
    <w:uiPriority w:val="99"/>
    <w:rsid w:val="005C0C71"/>
    <w:rPr>
      <w:rFonts w:ascii="Cambria" w:eastAsia="Cambria" w:hAnsi="Cambria" w:cs="Cambria"/>
      <w:sz w:val="20"/>
      <w:szCs w:val="20"/>
      <w:lang w:val="en" w:eastAsia="en-CA"/>
    </w:rPr>
  </w:style>
  <w:style w:type="character" w:styleId="CommentReference">
    <w:name w:val="annotation reference"/>
    <w:basedOn w:val="DefaultParagraphFont"/>
    <w:uiPriority w:val="99"/>
    <w:semiHidden/>
    <w:unhideWhenUsed/>
    <w:rsid w:val="005C0C71"/>
    <w:rPr>
      <w:sz w:val="16"/>
      <w:szCs w:val="16"/>
    </w:rPr>
  </w:style>
  <w:style w:type="character" w:styleId="Hyperlink">
    <w:name w:val="Hyperlink"/>
    <w:basedOn w:val="DefaultParagraphFont"/>
    <w:uiPriority w:val="99"/>
    <w:unhideWhenUsed/>
    <w:rsid w:val="005C0C71"/>
    <w:rPr>
      <w:color w:val="0563C1" w:themeColor="hyperlink"/>
      <w:u w:val="single"/>
    </w:rPr>
  </w:style>
  <w:style w:type="paragraph" w:styleId="Title">
    <w:name w:val="Title"/>
    <w:basedOn w:val="Normal"/>
    <w:next w:val="Normal"/>
    <w:link w:val="TitleChar"/>
    <w:uiPriority w:val="10"/>
    <w:qFormat/>
    <w:rsid w:val="005C0C7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0C71"/>
    <w:rPr>
      <w:rFonts w:asciiTheme="majorHAnsi" w:eastAsiaTheme="majorEastAsia" w:hAnsiTheme="majorHAnsi" w:cstheme="majorBidi"/>
      <w:spacing w:val="-10"/>
      <w:kern w:val="28"/>
      <w:sz w:val="56"/>
      <w:szCs w:val="56"/>
      <w:lang w:val="en" w:eastAsia="en-CA"/>
    </w:rPr>
  </w:style>
  <w:style w:type="paragraph" w:styleId="Header">
    <w:name w:val="header"/>
    <w:basedOn w:val="Normal"/>
    <w:link w:val="HeaderChar"/>
    <w:uiPriority w:val="99"/>
    <w:unhideWhenUsed/>
    <w:rsid w:val="0055404C"/>
    <w:pPr>
      <w:tabs>
        <w:tab w:val="center" w:pos="4680"/>
        <w:tab w:val="right" w:pos="9360"/>
      </w:tabs>
    </w:pPr>
  </w:style>
  <w:style w:type="character" w:customStyle="1" w:styleId="HeaderChar">
    <w:name w:val="Header Char"/>
    <w:basedOn w:val="DefaultParagraphFont"/>
    <w:link w:val="Header"/>
    <w:uiPriority w:val="99"/>
    <w:rsid w:val="0055404C"/>
    <w:rPr>
      <w:rFonts w:ascii="Cambria" w:eastAsia="Cambria" w:hAnsi="Cambria" w:cs="Cambria"/>
      <w:sz w:val="24"/>
      <w:szCs w:val="24"/>
      <w:lang w:val="en" w:eastAsia="en-CA"/>
    </w:rPr>
  </w:style>
  <w:style w:type="character" w:styleId="PageNumber">
    <w:name w:val="page number"/>
    <w:basedOn w:val="DefaultParagraphFont"/>
    <w:uiPriority w:val="99"/>
    <w:semiHidden/>
    <w:unhideWhenUsed/>
    <w:rsid w:val="0055404C"/>
  </w:style>
  <w:style w:type="table" w:styleId="TableGrid">
    <w:name w:val="Table Grid"/>
    <w:basedOn w:val="TableNormal"/>
    <w:uiPriority w:val="39"/>
    <w:rsid w:val="002315F8"/>
    <w:pPr>
      <w:spacing w:after="0" w:line="240" w:lineRule="auto"/>
    </w:pPr>
    <w:rPr>
      <w:rFonts w:ascii="Cambria" w:eastAsia="Cambria" w:hAnsi="Cambria" w:cs="Cambria"/>
      <w:sz w:val="24"/>
      <w:szCs w:val="24"/>
      <w:lang w:val="en"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2315F8"/>
    <w:rPr>
      <w:b/>
      <w:bCs/>
    </w:rPr>
  </w:style>
  <w:style w:type="character" w:customStyle="1" w:styleId="CommentSubjectChar">
    <w:name w:val="Comment Subject Char"/>
    <w:basedOn w:val="CommentTextChar"/>
    <w:link w:val="CommentSubject"/>
    <w:uiPriority w:val="99"/>
    <w:semiHidden/>
    <w:rsid w:val="002315F8"/>
    <w:rPr>
      <w:rFonts w:ascii="Cambria" w:eastAsia="Cambria" w:hAnsi="Cambria" w:cs="Cambria"/>
      <w:b/>
      <w:bCs/>
      <w:sz w:val="20"/>
      <w:szCs w:val="20"/>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tc.gc.ca/eng/home-accueil.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tc.gc.ca/eng/home-accueil.ht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otc-cta.gc.ca/eng" TargetMode="External"/><Relationship Id="rId4" Type="http://schemas.openxmlformats.org/officeDocument/2006/relationships/webSettings" Target="webSettings.xml"/><Relationship Id="rId9" Type="http://schemas.openxmlformats.org/officeDocument/2006/relationships/hyperlink" Target="https://www.otc-cta.gc.ca/e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Laverne Jacobs</dc:creator>
  <cp:keywords/>
  <dc:description/>
  <cp:lastModifiedBy>nadiashivratan@gmail.com</cp:lastModifiedBy>
  <cp:revision>3</cp:revision>
  <dcterms:created xsi:type="dcterms:W3CDTF">2021-05-13T19:15:00Z</dcterms:created>
  <dcterms:modified xsi:type="dcterms:W3CDTF">2021-05-17T15:47:00Z</dcterms:modified>
</cp:coreProperties>
</file>